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06FC4" w14:textId="77777777" w:rsidR="000C530C" w:rsidRPr="000C530C" w:rsidRDefault="000C530C" w:rsidP="000C530C">
      <w:pPr>
        <w:spacing w:line="278" w:lineRule="auto"/>
        <w:rPr>
          <w:rFonts w:ascii="Arial" w:hAnsi="Arial" w:cs="Arial"/>
          <w:b/>
        </w:rPr>
      </w:pPr>
      <w:r w:rsidRPr="000C530C">
        <w:rPr>
          <w:rFonts w:ascii="Arial" w:hAnsi="Arial" w:cs="Arial"/>
          <w:b/>
        </w:rPr>
        <w:t>Exit strategies for terminating courses</w:t>
      </w:r>
    </w:p>
    <w:p w14:paraId="2B5CA585" w14:textId="77777777" w:rsidR="000C530C" w:rsidRPr="000C530C" w:rsidRDefault="000C530C" w:rsidP="000C530C">
      <w:pPr>
        <w:pStyle w:val="NoSpacing"/>
        <w:rPr>
          <w:rFonts w:ascii="Arial" w:hAnsi="Arial" w:cs="Arial"/>
          <w:sz w:val="22"/>
          <w:szCs w:val="22"/>
        </w:rPr>
      </w:pPr>
    </w:p>
    <w:p w14:paraId="1C46A7B3" w14:textId="77777777" w:rsidR="000C530C" w:rsidRPr="000C530C" w:rsidRDefault="000C530C" w:rsidP="000C530C">
      <w:pPr>
        <w:pStyle w:val="NoSpacing"/>
        <w:ind w:left="425" w:hanging="425"/>
        <w:rPr>
          <w:rFonts w:ascii="Arial" w:hAnsi="Arial" w:cs="Arial"/>
          <w:sz w:val="22"/>
          <w:szCs w:val="22"/>
        </w:rPr>
      </w:pPr>
      <w:r w:rsidRPr="000C530C">
        <w:rPr>
          <w:rFonts w:ascii="Arial" w:hAnsi="Arial" w:cs="Arial"/>
          <w:sz w:val="22"/>
          <w:szCs w:val="22"/>
        </w:rPr>
        <w:t>1.1</w:t>
      </w:r>
      <w:r w:rsidRPr="000C530C">
        <w:rPr>
          <w:rFonts w:ascii="Arial" w:hAnsi="Arial" w:cs="Arial"/>
          <w:sz w:val="22"/>
          <w:szCs w:val="22"/>
        </w:rPr>
        <w:tab/>
        <w:t>The University’s responsibilities for and commitments to students on courses only conclude on the completion of the final module by the final student. In order to ensure that the rights of students on courses which are being discontinued are appropriately considered and protected, an exit strategy must be drawn up which identifies all relevant information relating to the course closure.</w:t>
      </w:r>
    </w:p>
    <w:p w14:paraId="5D9C4356" w14:textId="77777777" w:rsidR="000C530C" w:rsidRPr="000C530C" w:rsidRDefault="000C530C" w:rsidP="000C530C">
      <w:pPr>
        <w:pStyle w:val="NoSpacing"/>
        <w:rPr>
          <w:rFonts w:ascii="Arial" w:hAnsi="Arial" w:cs="Arial"/>
          <w:sz w:val="22"/>
          <w:szCs w:val="22"/>
        </w:rPr>
      </w:pPr>
    </w:p>
    <w:p w14:paraId="4ED014C1" w14:textId="77777777" w:rsidR="000C530C" w:rsidRPr="000C530C" w:rsidRDefault="000C530C" w:rsidP="000C530C">
      <w:pPr>
        <w:pStyle w:val="NoSpacing"/>
        <w:ind w:left="425" w:hanging="425"/>
        <w:rPr>
          <w:rFonts w:ascii="Arial" w:hAnsi="Arial" w:cs="Arial"/>
          <w:sz w:val="22"/>
          <w:szCs w:val="22"/>
        </w:rPr>
      </w:pPr>
      <w:r w:rsidRPr="000C530C">
        <w:rPr>
          <w:rFonts w:ascii="Arial" w:hAnsi="Arial" w:cs="Arial"/>
          <w:sz w:val="22"/>
          <w:szCs w:val="22"/>
        </w:rPr>
        <w:t>1.2</w:t>
      </w:r>
      <w:r w:rsidRPr="000C530C">
        <w:rPr>
          <w:rFonts w:ascii="Arial" w:hAnsi="Arial" w:cs="Arial"/>
          <w:sz w:val="22"/>
          <w:szCs w:val="22"/>
        </w:rPr>
        <w:tab/>
        <w:t>Exit strategies are drawn up by the course team for approval by the School’s Management/Executive Committee and monitored by School Board.</w:t>
      </w:r>
    </w:p>
    <w:p w14:paraId="1FB91A24" w14:textId="77777777" w:rsidR="000C530C" w:rsidRPr="000C530C" w:rsidRDefault="000C530C" w:rsidP="000C530C">
      <w:pPr>
        <w:pStyle w:val="NoSpacing"/>
        <w:ind w:left="425" w:hanging="425"/>
        <w:rPr>
          <w:rFonts w:ascii="Arial" w:hAnsi="Arial" w:cs="Arial"/>
          <w:sz w:val="22"/>
          <w:szCs w:val="22"/>
        </w:rPr>
      </w:pPr>
    </w:p>
    <w:p w14:paraId="1B2C8B61" w14:textId="77777777" w:rsidR="000C530C" w:rsidRDefault="000C530C" w:rsidP="000C530C">
      <w:pPr>
        <w:pStyle w:val="NoSpacing"/>
        <w:ind w:left="425" w:hanging="425"/>
        <w:rPr>
          <w:rFonts w:ascii="Arial" w:hAnsi="Arial" w:cs="Arial"/>
          <w:sz w:val="22"/>
          <w:szCs w:val="22"/>
        </w:rPr>
      </w:pPr>
      <w:r w:rsidRPr="000C530C">
        <w:rPr>
          <w:rFonts w:ascii="Arial" w:hAnsi="Arial" w:cs="Arial"/>
          <w:sz w:val="22"/>
          <w:szCs w:val="22"/>
        </w:rPr>
        <w:t>1.3</w:t>
      </w:r>
      <w:r w:rsidRPr="000C530C">
        <w:rPr>
          <w:rFonts w:ascii="Arial" w:hAnsi="Arial" w:cs="Arial"/>
          <w:sz w:val="22"/>
          <w:szCs w:val="22"/>
        </w:rPr>
        <w:tab/>
        <w:t>The University’s standard processes will apply until the conclusion of all registrations, including:</w:t>
      </w:r>
    </w:p>
    <w:p w14:paraId="2BE5C667" w14:textId="77777777" w:rsidR="000C530C" w:rsidRPr="000C530C" w:rsidRDefault="000C530C" w:rsidP="000C530C">
      <w:pPr>
        <w:pStyle w:val="NoSpacing"/>
        <w:ind w:left="425" w:hanging="425"/>
        <w:rPr>
          <w:rFonts w:ascii="Arial" w:hAnsi="Arial" w:cs="Arial"/>
          <w:sz w:val="22"/>
          <w:szCs w:val="22"/>
        </w:rPr>
      </w:pPr>
    </w:p>
    <w:p w14:paraId="16EBD9D7" w14:textId="77777777" w:rsidR="000C530C" w:rsidRPr="000C530C" w:rsidRDefault="000C530C" w:rsidP="000C530C">
      <w:pPr>
        <w:pStyle w:val="NoSpacing"/>
        <w:numPr>
          <w:ilvl w:val="0"/>
          <w:numId w:val="3"/>
        </w:numPr>
        <w:ind w:left="709" w:hanging="284"/>
        <w:rPr>
          <w:rFonts w:ascii="Arial" w:hAnsi="Arial" w:cs="Arial"/>
          <w:sz w:val="22"/>
          <w:szCs w:val="22"/>
        </w:rPr>
      </w:pPr>
      <w:r w:rsidRPr="000C530C">
        <w:rPr>
          <w:rFonts w:ascii="Arial" w:hAnsi="Arial" w:cs="Arial"/>
          <w:sz w:val="22"/>
          <w:szCs w:val="22"/>
        </w:rPr>
        <w:t>Quality assurance procedures</w:t>
      </w:r>
    </w:p>
    <w:p w14:paraId="7110B929" w14:textId="77777777" w:rsidR="000C530C" w:rsidRPr="000C530C" w:rsidRDefault="000C530C" w:rsidP="000C530C">
      <w:pPr>
        <w:pStyle w:val="NoSpacing"/>
        <w:numPr>
          <w:ilvl w:val="0"/>
          <w:numId w:val="3"/>
        </w:numPr>
        <w:ind w:left="709" w:hanging="284"/>
        <w:rPr>
          <w:rFonts w:ascii="Arial" w:hAnsi="Arial" w:cs="Arial"/>
          <w:sz w:val="22"/>
          <w:szCs w:val="22"/>
        </w:rPr>
      </w:pPr>
      <w:r w:rsidRPr="000C530C">
        <w:rPr>
          <w:rFonts w:ascii="Arial" w:hAnsi="Arial" w:cs="Arial"/>
          <w:sz w:val="22"/>
          <w:szCs w:val="22"/>
        </w:rPr>
        <w:t>External examiner processes</w:t>
      </w:r>
    </w:p>
    <w:p w14:paraId="299C529B" w14:textId="77777777" w:rsidR="000C530C" w:rsidRPr="000C530C" w:rsidRDefault="000C530C" w:rsidP="000C530C">
      <w:pPr>
        <w:pStyle w:val="NoSpacing"/>
        <w:numPr>
          <w:ilvl w:val="0"/>
          <w:numId w:val="3"/>
        </w:numPr>
        <w:ind w:left="709" w:hanging="284"/>
        <w:rPr>
          <w:rFonts w:ascii="Arial" w:hAnsi="Arial" w:cs="Arial"/>
          <w:sz w:val="22"/>
          <w:szCs w:val="22"/>
        </w:rPr>
      </w:pPr>
      <w:r w:rsidRPr="000C530C">
        <w:rPr>
          <w:rFonts w:ascii="Arial" w:hAnsi="Arial" w:cs="Arial"/>
          <w:sz w:val="22"/>
          <w:szCs w:val="22"/>
        </w:rPr>
        <w:t>Annual evaluation</w:t>
      </w:r>
    </w:p>
    <w:p w14:paraId="6D19CFC2" w14:textId="77777777" w:rsidR="000C530C" w:rsidRPr="000C530C" w:rsidRDefault="000C530C" w:rsidP="000C530C">
      <w:pPr>
        <w:pStyle w:val="NoSpacing"/>
        <w:numPr>
          <w:ilvl w:val="0"/>
          <w:numId w:val="3"/>
        </w:numPr>
        <w:ind w:left="709" w:hanging="284"/>
        <w:rPr>
          <w:rFonts w:ascii="Arial" w:hAnsi="Arial" w:cs="Arial"/>
          <w:sz w:val="22"/>
          <w:szCs w:val="22"/>
        </w:rPr>
      </w:pPr>
      <w:r w:rsidRPr="000C530C">
        <w:rPr>
          <w:rFonts w:ascii="Arial" w:hAnsi="Arial" w:cs="Arial"/>
          <w:sz w:val="22"/>
          <w:szCs w:val="22"/>
        </w:rPr>
        <w:t>Student feedback</w:t>
      </w:r>
    </w:p>
    <w:p w14:paraId="1244424F" w14:textId="77777777" w:rsidR="000C530C" w:rsidRPr="000C530C" w:rsidRDefault="000C530C" w:rsidP="000C530C">
      <w:pPr>
        <w:pStyle w:val="NoSpacing"/>
        <w:numPr>
          <w:ilvl w:val="0"/>
          <w:numId w:val="3"/>
        </w:numPr>
        <w:ind w:left="709" w:hanging="284"/>
        <w:rPr>
          <w:rFonts w:ascii="Arial" w:hAnsi="Arial" w:cs="Arial"/>
          <w:sz w:val="22"/>
          <w:szCs w:val="22"/>
        </w:rPr>
      </w:pPr>
      <w:r w:rsidRPr="000C530C">
        <w:rPr>
          <w:rFonts w:ascii="Arial" w:hAnsi="Arial" w:cs="Arial"/>
          <w:sz w:val="22"/>
          <w:szCs w:val="22"/>
        </w:rPr>
        <w:t>CMA considerations</w:t>
      </w:r>
    </w:p>
    <w:p w14:paraId="5FB09BDA" w14:textId="77777777" w:rsidR="000C530C" w:rsidRPr="000C530C" w:rsidRDefault="000C530C" w:rsidP="000C530C">
      <w:pPr>
        <w:pStyle w:val="NoSpacing"/>
        <w:rPr>
          <w:rFonts w:ascii="Arial" w:hAnsi="Arial" w:cs="Arial"/>
          <w:sz w:val="22"/>
          <w:szCs w:val="22"/>
        </w:rPr>
      </w:pPr>
    </w:p>
    <w:p w14:paraId="1557DB28" w14:textId="77777777" w:rsidR="000C530C" w:rsidRDefault="000C530C" w:rsidP="000C530C">
      <w:pPr>
        <w:pStyle w:val="NoSpacing"/>
        <w:ind w:left="425" w:hanging="425"/>
        <w:rPr>
          <w:rFonts w:ascii="Arial" w:hAnsi="Arial" w:cs="Arial"/>
          <w:sz w:val="22"/>
          <w:szCs w:val="22"/>
        </w:rPr>
      </w:pPr>
      <w:r w:rsidRPr="000C530C">
        <w:rPr>
          <w:rFonts w:ascii="Arial" w:hAnsi="Arial" w:cs="Arial"/>
          <w:sz w:val="22"/>
          <w:szCs w:val="22"/>
        </w:rPr>
        <w:t>1.4</w:t>
      </w:r>
      <w:r w:rsidRPr="000C530C">
        <w:rPr>
          <w:rFonts w:ascii="Arial" w:hAnsi="Arial" w:cs="Arial"/>
          <w:sz w:val="22"/>
          <w:szCs w:val="22"/>
        </w:rPr>
        <w:tab/>
        <w:t>As part of this exit strategy, all students (including interrupted students) who will be undertaking the course at the point when it is no longer recruiting should be contacted formally by the School when the decision regarding closure is made so that they are aware:</w:t>
      </w:r>
    </w:p>
    <w:p w14:paraId="7B6DB4C9" w14:textId="77777777" w:rsidR="000C530C" w:rsidRPr="000C530C" w:rsidRDefault="000C530C" w:rsidP="000C530C">
      <w:pPr>
        <w:pStyle w:val="NoSpacing"/>
        <w:ind w:left="425" w:hanging="425"/>
        <w:rPr>
          <w:rFonts w:ascii="Arial" w:hAnsi="Arial" w:cs="Arial"/>
          <w:sz w:val="22"/>
          <w:szCs w:val="22"/>
        </w:rPr>
      </w:pPr>
    </w:p>
    <w:p w14:paraId="667F42A7" w14:textId="77777777" w:rsidR="000C530C" w:rsidRPr="000C530C" w:rsidRDefault="000C530C" w:rsidP="000C530C">
      <w:pPr>
        <w:pStyle w:val="NoSpacing"/>
        <w:numPr>
          <w:ilvl w:val="0"/>
          <w:numId w:val="4"/>
        </w:numPr>
        <w:ind w:left="709" w:hanging="284"/>
        <w:rPr>
          <w:rFonts w:ascii="Arial" w:hAnsi="Arial" w:cs="Arial"/>
          <w:sz w:val="22"/>
          <w:szCs w:val="22"/>
        </w:rPr>
      </w:pPr>
      <w:r w:rsidRPr="000C530C">
        <w:rPr>
          <w:rFonts w:ascii="Arial" w:hAnsi="Arial" w:cs="Arial"/>
          <w:sz w:val="22"/>
          <w:szCs w:val="22"/>
        </w:rPr>
        <w:t>that the School and the University is committed to ensuring the quality of their learning experience</w:t>
      </w:r>
    </w:p>
    <w:p w14:paraId="3B2CF88E" w14:textId="77777777" w:rsidR="000C530C" w:rsidRPr="000C530C" w:rsidRDefault="000C530C" w:rsidP="000C530C">
      <w:pPr>
        <w:pStyle w:val="NoSpacing"/>
        <w:numPr>
          <w:ilvl w:val="0"/>
          <w:numId w:val="4"/>
        </w:numPr>
        <w:ind w:left="709" w:hanging="284"/>
        <w:rPr>
          <w:rFonts w:ascii="Arial" w:hAnsi="Arial" w:cs="Arial"/>
          <w:sz w:val="22"/>
          <w:szCs w:val="22"/>
        </w:rPr>
      </w:pPr>
      <w:r w:rsidRPr="000C530C">
        <w:rPr>
          <w:rFonts w:ascii="Arial" w:hAnsi="Arial" w:cs="Arial"/>
          <w:sz w:val="22"/>
          <w:szCs w:val="22"/>
        </w:rPr>
        <w:t>of their options and any limitations which may affect them including:</w:t>
      </w:r>
    </w:p>
    <w:p w14:paraId="47482B0A" w14:textId="77777777" w:rsidR="000C530C" w:rsidRPr="000C530C" w:rsidRDefault="000C530C" w:rsidP="000C530C">
      <w:pPr>
        <w:pStyle w:val="NoSpacing"/>
        <w:numPr>
          <w:ilvl w:val="0"/>
          <w:numId w:val="2"/>
        </w:numPr>
        <w:ind w:left="993" w:hanging="284"/>
        <w:rPr>
          <w:rFonts w:ascii="Arial" w:hAnsi="Arial" w:cs="Arial"/>
          <w:sz w:val="22"/>
          <w:szCs w:val="22"/>
        </w:rPr>
      </w:pPr>
      <w:r w:rsidRPr="000C530C">
        <w:rPr>
          <w:rFonts w:ascii="Arial" w:hAnsi="Arial" w:cs="Arial"/>
          <w:sz w:val="22"/>
          <w:szCs w:val="22"/>
        </w:rPr>
        <w:t>transfer to a similar course</w:t>
      </w:r>
    </w:p>
    <w:p w14:paraId="36A7F51A" w14:textId="77777777" w:rsidR="000C530C" w:rsidRPr="000C530C" w:rsidRDefault="000C530C" w:rsidP="000C530C">
      <w:pPr>
        <w:pStyle w:val="NoSpacing"/>
        <w:numPr>
          <w:ilvl w:val="0"/>
          <w:numId w:val="2"/>
        </w:numPr>
        <w:ind w:left="993" w:hanging="284"/>
        <w:rPr>
          <w:rFonts w:ascii="Arial" w:hAnsi="Arial" w:cs="Arial"/>
          <w:sz w:val="22"/>
          <w:szCs w:val="22"/>
        </w:rPr>
      </w:pPr>
      <w:r w:rsidRPr="000C530C">
        <w:rPr>
          <w:rFonts w:ascii="Arial" w:hAnsi="Arial" w:cs="Arial"/>
          <w:sz w:val="22"/>
          <w:szCs w:val="22"/>
        </w:rPr>
        <w:t xml:space="preserve">limiting any opportunities for retaking failed modules – either in terms of the continued availability of a specific module or the ability to take a year out to repeat failed modules and to return to a full-time cohort </w:t>
      </w:r>
    </w:p>
    <w:p w14:paraId="6472B172" w14:textId="77777777" w:rsidR="000C530C" w:rsidRPr="000C530C" w:rsidRDefault="000C530C" w:rsidP="000C530C">
      <w:pPr>
        <w:pStyle w:val="NoSpacing"/>
        <w:numPr>
          <w:ilvl w:val="0"/>
          <w:numId w:val="2"/>
        </w:numPr>
        <w:ind w:left="993" w:hanging="284"/>
        <w:rPr>
          <w:rFonts w:ascii="Arial" w:hAnsi="Arial" w:cs="Arial"/>
          <w:sz w:val="22"/>
          <w:szCs w:val="22"/>
        </w:rPr>
      </w:pPr>
      <w:r w:rsidRPr="000C530C">
        <w:rPr>
          <w:rFonts w:ascii="Arial" w:hAnsi="Arial" w:cs="Arial"/>
          <w:sz w:val="22"/>
          <w:szCs w:val="22"/>
        </w:rPr>
        <w:t>arrangements for claiming any interim award to which they are entitled (this should be accompanied by the offer for students to contact the Careers Service at the University for advice on how they may choose to make use of an interim award)</w:t>
      </w:r>
    </w:p>
    <w:p w14:paraId="1F0E5BCD" w14:textId="77777777" w:rsidR="000C530C" w:rsidRPr="000C530C" w:rsidRDefault="000C530C" w:rsidP="000C530C">
      <w:pPr>
        <w:pStyle w:val="NoSpacing"/>
        <w:numPr>
          <w:ilvl w:val="0"/>
          <w:numId w:val="2"/>
        </w:numPr>
        <w:ind w:left="993" w:hanging="284"/>
        <w:rPr>
          <w:rFonts w:ascii="Arial" w:hAnsi="Arial" w:cs="Arial"/>
          <w:sz w:val="22"/>
          <w:szCs w:val="22"/>
        </w:rPr>
      </w:pPr>
      <w:r w:rsidRPr="000C530C">
        <w:rPr>
          <w:rFonts w:ascii="Arial" w:hAnsi="Arial" w:cs="Arial"/>
          <w:sz w:val="22"/>
          <w:szCs w:val="22"/>
        </w:rPr>
        <w:t>taking any credit achieved as a Huddersfield student and apply for advanced entry at another institution</w:t>
      </w:r>
    </w:p>
    <w:p w14:paraId="04E484D8" w14:textId="77777777" w:rsidR="000C530C" w:rsidRPr="000C530C" w:rsidRDefault="000C530C" w:rsidP="000C530C">
      <w:pPr>
        <w:numPr>
          <w:ilvl w:val="0"/>
          <w:numId w:val="1"/>
        </w:numPr>
        <w:spacing w:line="240" w:lineRule="auto"/>
        <w:ind w:left="714" w:hanging="357"/>
        <w:rPr>
          <w:rFonts w:ascii="Arial" w:hAnsi="Arial" w:cs="Arial"/>
        </w:rPr>
      </w:pPr>
      <w:r w:rsidRPr="000C530C">
        <w:rPr>
          <w:rFonts w:ascii="Arial" w:hAnsi="Arial" w:cs="Arial"/>
        </w:rPr>
        <w:t>where student numbers are such that the structure of the course is no longer academically coherent, students should be invited to discuss the possibility of undertaking an individualised course to allow completion of the originally intended end award.</w:t>
      </w:r>
    </w:p>
    <w:p w14:paraId="4DC8FCE1" w14:textId="77777777" w:rsidR="000C530C" w:rsidRPr="000C530C" w:rsidRDefault="000C530C" w:rsidP="000C530C">
      <w:pPr>
        <w:spacing w:line="278" w:lineRule="auto"/>
        <w:rPr>
          <w:rFonts w:ascii="Arial" w:hAnsi="Arial" w:cs="Arial"/>
        </w:rPr>
      </w:pPr>
    </w:p>
    <w:p w14:paraId="3E2DEDA5" w14:textId="77777777" w:rsidR="000C530C" w:rsidRDefault="000C530C" w:rsidP="000C530C">
      <w:pPr>
        <w:spacing w:line="278" w:lineRule="auto"/>
        <w:jc w:val="center"/>
        <w:rPr>
          <w:rFonts w:ascii="Arial" w:hAnsi="Arial" w:cs="Arial"/>
        </w:rPr>
      </w:pPr>
    </w:p>
    <w:p w14:paraId="170D58F4" w14:textId="77777777" w:rsidR="000C530C" w:rsidRDefault="000C530C" w:rsidP="000C530C">
      <w:pPr>
        <w:spacing w:line="278" w:lineRule="auto"/>
        <w:jc w:val="center"/>
        <w:rPr>
          <w:rFonts w:ascii="Arial" w:hAnsi="Arial" w:cs="Arial"/>
        </w:rPr>
      </w:pPr>
    </w:p>
    <w:p w14:paraId="6A21D54F" w14:textId="77777777" w:rsidR="000C530C" w:rsidRDefault="000C530C" w:rsidP="000C530C">
      <w:pPr>
        <w:spacing w:line="278" w:lineRule="auto"/>
        <w:jc w:val="center"/>
        <w:rPr>
          <w:rFonts w:ascii="Arial" w:hAnsi="Arial" w:cs="Arial"/>
        </w:rPr>
      </w:pPr>
    </w:p>
    <w:p w14:paraId="5A9703F0" w14:textId="77777777" w:rsidR="000C530C" w:rsidRDefault="000C530C" w:rsidP="000C530C">
      <w:pPr>
        <w:spacing w:line="278" w:lineRule="auto"/>
        <w:jc w:val="center"/>
        <w:rPr>
          <w:rFonts w:ascii="Arial" w:hAnsi="Arial" w:cs="Arial"/>
        </w:rPr>
      </w:pPr>
    </w:p>
    <w:p w14:paraId="15D7635F" w14:textId="77777777" w:rsidR="000C530C" w:rsidRDefault="000C530C" w:rsidP="000C530C">
      <w:pPr>
        <w:spacing w:line="278" w:lineRule="auto"/>
        <w:jc w:val="center"/>
        <w:rPr>
          <w:rFonts w:ascii="Arial" w:hAnsi="Arial" w:cs="Arial"/>
        </w:rPr>
      </w:pPr>
    </w:p>
    <w:p w14:paraId="7E412032" w14:textId="77777777" w:rsidR="000C530C" w:rsidRDefault="000C530C" w:rsidP="000C530C">
      <w:pPr>
        <w:spacing w:line="278" w:lineRule="auto"/>
        <w:jc w:val="center"/>
        <w:rPr>
          <w:rFonts w:ascii="Arial" w:hAnsi="Arial" w:cs="Arial"/>
        </w:rPr>
      </w:pPr>
    </w:p>
    <w:p w14:paraId="329A163C" w14:textId="030BFEF8" w:rsidR="000C530C" w:rsidRPr="000C530C" w:rsidRDefault="000C530C" w:rsidP="000C530C">
      <w:pPr>
        <w:spacing w:line="278" w:lineRule="auto"/>
        <w:jc w:val="center"/>
        <w:rPr>
          <w:rFonts w:ascii="Arial" w:hAnsi="Arial" w:cs="Arial"/>
          <w:b/>
        </w:rPr>
      </w:pPr>
      <w:r w:rsidRPr="000C530C">
        <w:rPr>
          <w:rFonts w:ascii="Arial" w:hAnsi="Arial" w:cs="Arial"/>
          <w:b/>
        </w:rPr>
        <w:lastRenderedPageBreak/>
        <w:t>Minimum information for inclusion in an exit strategy</w:t>
      </w:r>
    </w:p>
    <w:p w14:paraId="5C53D51C" w14:textId="77777777" w:rsidR="000C530C" w:rsidRPr="000C530C" w:rsidRDefault="000C530C" w:rsidP="000C530C">
      <w:pPr>
        <w:pStyle w:val="NoSpacing"/>
        <w:rPr>
          <w:rFonts w:ascii="Arial" w:hAnsi="Arial" w:cs="Arial"/>
          <w:sz w:val="22"/>
          <w:szCs w:val="22"/>
        </w:rPr>
      </w:pPr>
      <w:r w:rsidRPr="000C530C">
        <w:rPr>
          <w:rFonts w:ascii="Arial" w:hAnsi="Arial" w:cs="Arial"/>
          <w:sz w:val="22"/>
          <w:szCs w:val="22"/>
        </w:rPr>
        <w:t>The overriding objective of this exit strategy is to ensure that students on courses remain supported until they have completed their studies. The usual support mechanisms (course committees, assessment boards, assessment and moderation regulations) offered by the University will continue to be provided until those students complete. The exit strategy will be monitored via School Board</w:t>
      </w:r>
      <w:r w:rsidRPr="000C530C">
        <w:rPr>
          <w:rFonts w:ascii="Arial" w:hAnsi="Arial" w:cs="Arial"/>
          <w:color w:val="FF0000"/>
          <w:sz w:val="22"/>
          <w:szCs w:val="22"/>
        </w:rPr>
        <w:t xml:space="preserve"> </w:t>
      </w:r>
      <w:r w:rsidRPr="000C530C">
        <w:rPr>
          <w:rFonts w:ascii="Arial" w:hAnsi="Arial" w:cs="Arial"/>
          <w:sz w:val="22"/>
          <w:szCs w:val="22"/>
        </w:rPr>
        <w:t xml:space="preserve">and the AER process. </w:t>
      </w:r>
    </w:p>
    <w:p w14:paraId="172380CB" w14:textId="77777777" w:rsidR="000C530C" w:rsidRPr="000C530C" w:rsidRDefault="000C530C" w:rsidP="000C530C">
      <w:pPr>
        <w:pStyle w:val="NoSpacing"/>
        <w:rPr>
          <w:rFonts w:ascii="Arial" w:hAnsi="Arial" w:cs="Arial"/>
          <w:sz w:val="22"/>
          <w:szCs w:val="22"/>
        </w:rPr>
      </w:pPr>
    </w:p>
    <w:tbl>
      <w:tblPr>
        <w:tblStyle w:val="TableGrid"/>
        <w:tblW w:w="0" w:type="auto"/>
        <w:tblInd w:w="0" w:type="dxa"/>
        <w:tblLook w:val="04A0" w:firstRow="1" w:lastRow="0" w:firstColumn="1" w:lastColumn="0" w:noHBand="0" w:noVBand="1"/>
      </w:tblPr>
      <w:tblGrid>
        <w:gridCol w:w="4508"/>
        <w:gridCol w:w="4508"/>
      </w:tblGrid>
      <w:tr w:rsidR="000C530C" w:rsidRPr="000C530C" w14:paraId="5B346A30" w14:textId="77777777" w:rsidTr="00FA2C16">
        <w:tc>
          <w:tcPr>
            <w:tcW w:w="4508" w:type="dxa"/>
          </w:tcPr>
          <w:p w14:paraId="4810BB9F" w14:textId="77777777" w:rsidR="000C530C" w:rsidRPr="000C530C" w:rsidRDefault="000C530C" w:rsidP="00FA2C16">
            <w:pPr>
              <w:spacing w:line="278" w:lineRule="auto"/>
              <w:rPr>
                <w:rFonts w:ascii="Arial" w:hAnsi="Arial" w:cs="Arial"/>
                <w:b/>
                <w:bCs/>
              </w:rPr>
            </w:pPr>
            <w:r w:rsidRPr="000C530C">
              <w:rPr>
                <w:rFonts w:ascii="Arial" w:hAnsi="Arial" w:cs="Arial"/>
                <w:b/>
                <w:bCs/>
              </w:rPr>
              <w:t>Course name:</w:t>
            </w:r>
          </w:p>
        </w:tc>
        <w:tc>
          <w:tcPr>
            <w:tcW w:w="4508" w:type="dxa"/>
          </w:tcPr>
          <w:p w14:paraId="44FA8E5D" w14:textId="77777777" w:rsidR="000C530C" w:rsidRPr="000C530C" w:rsidRDefault="000C530C" w:rsidP="00FA2C16">
            <w:pPr>
              <w:spacing w:line="278" w:lineRule="auto"/>
              <w:rPr>
                <w:rFonts w:ascii="Arial" w:hAnsi="Arial" w:cs="Arial"/>
              </w:rPr>
            </w:pPr>
          </w:p>
        </w:tc>
      </w:tr>
      <w:tr w:rsidR="000C530C" w:rsidRPr="000C530C" w14:paraId="2AD04651" w14:textId="77777777" w:rsidTr="00FA2C16">
        <w:tc>
          <w:tcPr>
            <w:tcW w:w="4508" w:type="dxa"/>
          </w:tcPr>
          <w:p w14:paraId="04DA9C91" w14:textId="77777777" w:rsidR="000C530C" w:rsidRPr="000C530C" w:rsidRDefault="000C530C" w:rsidP="00FA2C16">
            <w:pPr>
              <w:spacing w:line="278" w:lineRule="auto"/>
              <w:rPr>
                <w:rFonts w:ascii="Arial" w:hAnsi="Arial" w:cs="Arial"/>
                <w:b/>
                <w:bCs/>
              </w:rPr>
            </w:pPr>
            <w:r w:rsidRPr="000C530C">
              <w:rPr>
                <w:rFonts w:ascii="Arial" w:hAnsi="Arial" w:cs="Arial"/>
                <w:b/>
                <w:bCs/>
              </w:rPr>
              <w:t>Delivery method:</w:t>
            </w:r>
          </w:p>
        </w:tc>
        <w:tc>
          <w:tcPr>
            <w:tcW w:w="4508" w:type="dxa"/>
          </w:tcPr>
          <w:p w14:paraId="51B51415" w14:textId="77777777" w:rsidR="000C530C" w:rsidRPr="000C530C" w:rsidRDefault="000C530C" w:rsidP="00FA2C16">
            <w:pPr>
              <w:spacing w:line="278" w:lineRule="auto"/>
              <w:rPr>
                <w:rFonts w:ascii="Arial" w:hAnsi="Arial" w:cs="Arial"/>
              </w:rPr>
            </w:pPr>
            <w:r w:rsidRPr="000C530C">
              <w:rPr>
                <w:rFonts w:ascii="Arial" w:hAnsi="Arial" w:cs="Arial"/>
              </w:rPr>
              <w:t>FT / PT / SW / DL / Short Course*</w:t>
            </w:r>
          </w:p>
        </w:tc>
      </w:tr>
      <w:tr w:rsidR="000C530C" w:rsidRPr="000C530C" w14:paraId="1A3034A7" w14:textId="77777777" w:rsidTr="00FA2C16">
        <w:tc>
          <w:tcPr>
            <w:tcW w:w="4508" w:type="dxa"/>
          </w:tcPr>
          <w:p w14:paraId="13265F5B" w14:textId="77777777" w:rsidR="000C530C" w:rsidRPr="000C530C" w:rsidRDefault="000C530C" w:rsidP="00FA2C16">
            <w:pPr>
              <w:spacing w:line="278" w:lineRule="auto"/>
              <w:rPr>
                <w:rFonts w:ascii="Arial" w:hAnsi="Arial" w:cs="Arial"/>
                <w:b/>
                <w:bCs/>
              </w:rPr>
            </w:pPr>
            <w:r w:rsidRPr="000C530C">
              <w:rPr>
                <w:rFonts w:ascii="Arial" w:hAnsi="Arial" w:cs="Arial"/>
                <w:b/>
                <w:bCs/>
              </w:rPr>
              <w:t>Academic session for recruitment of last cohort:</w:t>
            </w:r>
          </w:p>
        </w:tc>
        <w:tc>
          <w:tcPr>
            <w:tcW w:w="4508" w:type="dxa"/>
          </w:tcPr>
          <w:p w14:paraId="4224D5F0" w14:textId="77777777" w:rsidR="000C530C" w:rsidRPr="000C530C" w:rsidRDefault="000C530C" w:rsidP="00FA2C16">
            <w:pPr>
              <w:spacing w:line="278" w:lineRule="auto"/>
              <w:rPr>
                <w:rFonts w:ascii="Arial" w:hAnsi="Arial" w:cs="Arial"/>
              </w:rPr>
            </w:pPr>
          </w:p>
        </w:tc>
      </w:tr>
    </w:tbl>
    <w:p w14:paraId="4660A3B0" w14:textId="77777777" w:rsidR="000C530C" w:rsidRPr="000C530C" w:rsidRDefault="000C530C" w:rsidP="000C530C">
      <w:pPr>
        <w:pStyle w:val="NoSpacing"/>
        <w:rPr>
          <w:rFonts w:ascii="Arial" w:hAnsi="Arial" w:cs="Arial"/>
          <w:b/>
          <w:bCs/>
          <w:sz w:val="22"/>
          <w:szCs w:val="22"/>
        </w:rPr>
      </w:pPr>
      <w:r w:rsidRPr="000C530C">
        <w:rPr>
          <w:rFonts w:ascii="Arial" w:hAnsi="Arial" w:cs="Arial"/>
          <w:b/>
          <w:bCs/>
          <w:sz w:val="22"/>
          <w:szCs w:val="22"/>
        </w:rPr>
        <w:t>*Collaborative Provision activities have a separate exit strategy form.</w:t>
      </w:r>
    </w:p>
    <w:p w14:paraId="0474798C" w14:textId="77777777" w:rsidR="000C530C" w:rsidRPr="000C530C" w:rsidRDefault="000C530C" w:rsidP="000C530C">
      <w:pPr>
        <w:pStyle w:val="NoSpacing"/>
        <w:rPr>
          <w:rFonts w:ascii="Arial" w:hAnsi="Arial" w:cs="Arial"/>
          <w:sz w:val="22"/>
          <w:szCs w:val="22"/>
        </w:rPr>
      </w:pPr>
    </w:p>
    <w:tbl>
      <w:tblPr>
        <w:tblStyle w:val="TableGrid"/>
        <w:tblW w:w="0" w:type="auto"/>
        <w:tblInd w:w="0" w:type="dxa"/>
        <w:tblLook w:val="04A0" w:firstRow="1" w:lastRow="0" w:firstColumn="1" w:lastColumn="0" w:noHBand="0" w:noVBand="1"/>
      </w:tblPr>
      <w:tblGrid>
        <w:gridCol w:w="9016"/>
      </w:tblGrid>
      <w:tr w:rsidR="000C530C" w:rsidRPr="000C530C" w14:paraId="3A2B6954" w14:textId="77777777" w:rsidTr="00FA2C16">
        <w:tc>
          <w:tcPr>
            <w:tcW w:w="9016" w:type="dxa"/>
          </w:tcPr>
          <w:p w14:paraId="0367A4D6" w14:textId="77777777" w:rsidR="000C530C" w:rsidRPr="000C530C" w:rsidRDefault="000C530C" w:rsidP="00FA2C16">
            <w:pPr>
              <w:pStyle w:val="NoSpacing"/>
              <w:rPr>
                <w:rFonts w:ascii="Arial" w:hAnsi="Arial" w:cs="Arial"/>
                <w:b/>
                <w:bCs/>
              </w:rPr>
            </w:pPr>
            <w:r w:rsidRPr="000C530C">
              <w:rPr>
                <w:rFonts w:ascii="Arial" w:hAnsi="Arial" w:cs="Arial"/>
                <w:b/>
                <w:bCs/>
              </w:rPr>
              <w:t>Rationale for Termination</w:t>
            </w:r>
          </w:p>
        </w:tc>
      </w:tr>
      <w:tr w:rsidR="000C530C" w:rsidRPr="000C530C" w14:paraId="48A6E056" w14:textId="77777777" w:rsidTr="00FA2C16">
        <w:trPr>
          <w:trHeight w:val="712"/>
        </w:trPr>
        <w:tc>
          <w:tcPr>
            <w:tcW w:w="9016" w:type="dxa"/>
          </w:tcPr>
          <w:p w14:paraId="2E748F36" w14:textId="77777777" w:rsidR="000C530C" w:rsidRPr="000C530C" w:rsidRDefault="000C530C" w:rsidP="00FA2C16">
            <w:pPr>
              <w:pStyle w:val="NoSpacing"/>
              <w:rPr>
                <w:rFonts w:ascii="Arial" w:hAnsi="Arial" w:cs="Arial"/>
              </w:rPr>
            </w:pPr>
            <w:r w:rsidRPr="000C530C">
              <w:rPr>
                <w:rFonts w:ascii="Arial" w:hAnsi="Arial" w:cs="Arial"/>
                <w:color w:val="FF0000"/>
              </w:rPr>
              <w:t>[insert reason for termination]</w:t>
            </w:r>
          </w:p>
        </w:tc>
      </w:tr>
    </w:tbl>
    <w:p w14:paraId="44F9154A" w14:textId="77777777" w:rsidR="000C530C" w:rsidRPr="000C530C" w:rsidRDefault="000C530C" w:rsidP="000C530C">
      <w:pPr>
        <w:pStyle w:val="NoSpacing"/>
        <w:rPr>
          <w:rFonts w:ascii="Arial" w:hAnsi="Arial" w:cs="Arial"/>
          <w:sz w:val="22"/>
          <w:szCs w:val="22"/>
        </w:rPr>
      </w:pPr>
    </w:p>
    <w:p w14:paraId="22B28DC1" w14:textId="77777777" w:rsidR="000C530C" w:rsidRPr="000C530C" w:rsidRDefault="000C530C" w:rsidP="000C530C">
      <w:pPr>
        <w:pStyle w:val="NoSpacing"/>
        <w:rPr>
          <w:rFonts w:ascii="Arial" w:hAnsi="Arial" w:cs="Arial"/>
          <w:sz w:val="22"/>
          <w:szCs w:val="22"/>
        </w:rPr>
      </w:pPr>
      <w:r w:rsidRPr="000C530C">
        <w:rPr>
          <w:rFonts w:ascii="Arial" w:hAnsi="Arial" w:cs="Arial"/>
          <w:sz w:val="22"/>
          <w:szCs w:val="22"/>
        </w:rPr>
        <w:t xml:space="preserve">The last intake of students was/will be </w:t>
      </w:r>
      <w:r w:rsidRPr="000C530C">
        <w:rPr>
          <w:rFonts w:ascii="Arial" w:hAnsi="Arial" w:cs="Arial"/>
          <w:color w:val="FF0000"/>
          <w:sz w:val="22"/>
          <w:szCs w:val="22"/>
        </w:rPr>
        <w:t xml:space="preserve">[insert date] </w:t>
      </w:r>
      <w:r w:rsidRPr="000C530C">
        <w:rPr>
          <w:rFonts w:ascii="Arial" w:hAnsi="Arial" w:cs="Arial"/>
          <w:sz w:val="22"/>
          <w:szCs w:val="22"/>
        </w:rPr>
        <w:t xml:space="preserve">and student numbers are/expected to be </w:t>
      </w:r>
      <w:r w:rsidRPr="000C530C">
        <w:rPr>
          <w:rFonts w:ascii="Arial" w:hAnsi="Arial" w:cs="Arial"/>
          <w:color w:val="FF0000"/>
          <w:sz w:val="22"/>
          <w:szCs w:val="22"/>
        </w:rPr>
        <w:t>[add intake number]</w:t>
      </w:r>
      <w:r w:rsidRPr="000C530C">
        <w:rPr>
          <w:rFonts w:ascii="Arial" w:hAnsi="Arial" w:cs="Arial"/>
          <w:sz w:val="22"/>
          <w:szCs w:val="22"/>
        </w:rPr>
        <w:t xml:space="preserve">. In addition to this, there are </w:t>
      </w:r>
      <w:r w:rsidRPr="000C530C">
        <w:rPr>
          <w:rFonts w:ascii="Arial" w:hAnsi="Arial" w:cs="Arial"/>
          <w:color w:val="FF0000"/>
          <w:sz w:val="22"/>
          <w:szCs w:val="22"/>
        </w:rPr>
        <w:t>[insert number]</w:t>
      </w:r>
      <w:r w:rsidRPr="000C530C">
        <w:rPr>
          <w:rFonts w:ascii="Arial" w:hAnsi="Arial" w:cs="Arial"/>
          <w:sz w:val="22"/>
          <w:szCs w:val="22"/>
        </w:rPr>
        <w:t xml:space="preserve"> of students left to complete as highlighted in the table below:</w:t>
      </w:r>
    </w:p>
    <w:p w14:paraId="36F4DEBC" w14:textId="77777777" w:rsidR="000C530C" w:rsidRPr="000C530C" w:rsidRDefault="000C530C" w:rsidP="000C530C">
      <w:pPr>
        <w:pStyle w:val="NoSpacing"/>
        <w:rPr>
          <w:rFonts w:ascii="Arial" w:hAnsi="Arial" w:cs="Arial"/>
          <w:sz w:val="22"/>
          <w:szCs w:val="22"/>
        </w:rPr>
      </w:pPr>
    </w:p>
    <w:tbl>
      <w:tblPr>
        <w:tblStyle w:val="TableGrid"/>
        <w:tblW w:w="0" w:type="auto"/>
        <w:tblInd w:w="0" w:type="dxa"/>
        <w:tblLook w:val="04A0" w:firstRow="1" w:lastRow="0" w:firstColumn="1" w:lastColumn="0" w:noHBand="0" w:noVBand="1"/>
        <w:tblCaption w:val="Exit strategy record"/>
        <w:tblDescription w:val="Record of students part of exit strategy"/>
      </w:tblPr>
      <w:tblGrid>
        <w:gridCol w:w="4520"/>
        <w:gridCol w:w="1410"/>
      </w:tblGrid>
      <w:tr w:rsidR="000C530C" w:rsidRPr="000C530C" w14:paraId="59121F40" w14:textId="77777777" w:rsidTr="00FA2C16">
        <w:trPr>
          <w:trHeight w:val="300"/>
        </w:trPr>
        <w:tc>
          <w:tcPr>
            <w:tcW w:w="4520" w:type="dxa"/>
            <w:noWrap/>
            <w:hideMark/>
          </w:tcPr>
          <w:p w14:paraId="6B119FEC" w14:textId="77777777" w:rsidR="000C530C" w:rsidRPr="000C530C" w:rsidRDefault="000C530C" w:rsidP="00FA2C16">
            <w:pPr>
              <w:jc w:val="center"/>
              <w:rPr>
                <w:rFonts w:ascii="Arial" w:hAnsi="Arial" w:cs="Arial"/>
                <w:b/>
                <w:bCs/>
              </w:rPr>
            </w:pPr>
            <w:r w:rsidRPr="000C530C">
              <w:rPr>
                <w:rFonts w:ascii="Arial" w:hAnsi="Arial" w:cs="Arial"/>
                <w:b/>
                <w:bCs/>
              </w:rPr>
              <w:t>Year of course</w:t>
            </w:r>
          </w:p>
        </w:tc>
        <w:tc>
          <w:tcPr>
            <w:tcW w:w="1410" w:type="dxa"/>
            <w:noWrap/>
            <w:hideMark/>
          </w:tcPr>
          <w:p w14:paraId="1E310178" w14:textId="77777777" w:rsidR="000C530C" w:rsidRPr="000C530C" w:rsidRDefault="000C530C" w:rsidP="00FA2C16">
            <w:pPr>
              <w:jc w:val="center"/>
              <w:rPr>
                <w:rFonts w:ascii="Arial" w:hAnsi="Arial" w:cs="Arial"/>
                <w:b/>
                <w:bCs/>
              </w:rPr>
            </w:pPr>
            <w:r w:rsidRPr="000C530C">
              <w:rPr>
                <w:rFonts w:ascii="Arial" w:hAnsi="Arial" w:cs="Arial"/>
                <w:b/>
                <w:bCs/>
              </w:rPr>
              <w:t>Total</w:t>
            </w:r>
          </w:p>
        </w:tc>
      </w:tr>
      <w:tr w:rsidR="000C530C" w:rsidRPr="000C530C" w14:paraId="441BBBDC" w14:textId="77777777" w:rsidTr="00FA2C16">
        <w:trPr>
          <w:trHeight w:val="300"/>
        </w:trPr>
        <w:tc>
          <w:tcPr>
            <w:tcW w:w="4520" w:type="dxa"/>
            <w:noWrap/>
          </w:tcPr>
          <w:p w14:paraId="2745BF1B" w14:textId="77777777" w:rsidR="000C530C" w:rsidRPr="000C530C" w:rsidRDefault="000C530C" w:rsidP="00FA2C16">
            <w:pPr>
              <w:jc w:val="both"/>
              <w:rPr>
                <w:rFonts w:ascii="Arial" w:hAnsi="Arial" w:cs="Arial"/>
              </w:rPr>
            </w:pPr>
          </w:p>
        </w:tc>
        <w:tc>
          <w:tcPr>
            <w:tcW w:w="1410" w:type="dxa"/>
            <w:noWrap/>
            <w:hideMark/>
          </w:tcPr>
          <w:p w14:paraId="39C13504" w14:textId="77777777" w:rsidR="000C530C" w:rsidRPr="000C530C" w:rsidRDefault="000C530C" w:rsidP="00FA2C16">
            <w:pPr>
              <w:jc w:val="center"/>
              <w:rPr>
                <w:rFonts w:ascii="Arial" w:hAnsi="Arial" w:cs="Arial"/>
              </w:rPr>
            </w:pPr>
            <w:r w:rsidRPr="000C530C">
              <w:rPr>
                <w:rFonts w:ascii="Arial" w:hAnsi="Arial" w:cs="Arial"/>
              </w:rPr>
              <w:t>0</w:t>
            </w:r>
          </w:p>
        </w:tc>
      </w:tr>
      <w:tr w:rsidR="000C530C" w:rsidRPr="000C530C" w14:paraId="3A7EFDB2" w14:textId="77777777" w:rsidTr="00FA2C16">
        <w:trPr>
          <w:trHeight w:val="300"/>
        </w:trPr>
        <w:tc>
          <w:tcPr>
            <w:tcW w:w="4520" w:type="dxa"/>
            <w:noWrap/>
          </w:tcPr>
          <w:p w14:paraId="7702C5DA" w14:textId="77777777" w:rsidR="000C530C" w:rsidRPr="000C530C" w:rsidRDefault="000C530C" w:rsidP="00FA2C16">
            <w:pPr>
              <w:jc w:val="both"/>
              <w:rPr>
                <w:rFonts w:ascii="Arial" w:hAnsi="Arial" w:cs="Arial"/>
              </w:rPr>
            </w:pPr>
          </w:p>
        </w:tc>
        <w:tc>
          <w:tcPr>
            <w:tcW w:w="1410" w:type="dxa"/>
            <w:noWrap/>
            <w:hideMark/>
          </w:tcPr>
          <w:p w14:paraId="406D41B8" w14:textId="77777777" w:rsidR="000C530C" w:rsidRPr="000C530C" w:rsidRDefault="000C530C" w:rsidP="00FA2C16">
            <w:pPr>
              <w:jc w:val="center"/>
              <w:rPr>
                <w:rFonts w:ascii="Arial" w:hAnsi="Arial" w:cs="Arial"/>
              </w:rPr>
            </w:pPr>
            <w:r w:rsidRPr="000C530C">
              <w:rPr>
                <w:rFonts w:ascii="Arial" w:hAnsi="Arial" w:cs="Arial"/>
              </w:rPr>
              <w:t>0</w:t>
            </w:r>
          </w:p>
        </w:tc>
      </w:tr>
      <w:tr w:rsidR="000C530C" w:rsidRPr="000C530C" w14:paraId="59C40393" w14:textId="77777777" w:rsidTr="00FA2C16">
        <w:trPr>
          <w:trHeight w:val="300"/>
        </w:trPr>
        <w:tc>
          <w:tcPr>
            <w:tcW w:w="4520" w:type="dxa"/>
            <w:noWrap/>
          </w:tcPr>
          <w:p w14:paraId="34D764F0" w14:textId="77777777" w:rsidR="000C530C" w:rsidRPr="000C530C" w:rsidRDefault="000C530C" w:rsidP="00FA2C16">
            <w:pPr>
              <w:jc w:val="both"/>
              <w:rPr>
                <w:rFonts w:ascii="Arial" w:hAnsi="Arial" w:cs="Arial"/>
              </w:rPr>
            </w:pPr>
          </w:p>
        </w:tc>
        <w:tc>
          <w:tcPr>
            <w:tcW w:w="1410" w:type="dxa"/>
            <w:noWrap/>
            <w:hideMark/>
          </w:tcPr>
          <w:p w14:paraId="46482BC5" w14:textId="77777777" w:rsidR="000C530C" w:rsidRPr="000C530C" w:rsidRDefault="000C530C" w:rsidP="00FA2C16">
            <w:pPr>
              <w:jc w:val="center"/>
              <w:rPr>
                <w:rFonts w:ascii="Arial" w:hAnsi="Arial" w:cs="Arial"/>
              </w:rPr>
            </w:pPr>
            <w:r w:rsidRPr="000C530C">
              <w:rPr>
                <w:rFonts w:ascii="Arial" w:hAnsi="Arial" w:cs="Arial"/>
              </w:rPr>
              <w:t>0</w:t>
            </w:r>
          </w:p>
        </w:tc>
      </w:tr>
      <w:tr w:rsidR="000C530C" w:rsidRPr="000C530C" w14:paraId="290C11A0" w14:textId="77777777" w:rsidTr="00FA2C16">
        <w:trPr>
          <w:trHeight w:val="300"/>
        </w:trPr>
        <w:tc>
          <w:tcPr>
            <w:tcW w:w="4520" w:type="dxa"/>
            <w:noWrap/>
          </w:tcPr>
          <w:p w14:paraId="4FCA0487" w14:textId="77777777" w:rsidR="000C530C" w:rsidRPr="000C530C" w:rsidRDefault="000C530C" w:rsidP="00FA2C16">
            <w:pPr>
              <w:jc w:val="both"/>
              <w:rPr>
                <w:rFonts w:ascii="Arial" w:hAnsi="Arial" w:cs="Arial"/>
              </w:rPr>
            </w:pPr>
          </w:p>
        </w:tc>
        <w:tc>
          <w:tcPr>
            <w:tcW w:w="1410" w:type="dxa"/>
            <w:noWrap/>
            <w:hideMark/>
          </w:tcPr>
          <w:p w14:paraId="141C9EFD" w14:textId="77777777" w:rsidR="000C530C" w:rsidRPr="000C530C" w:rsidRDefault="000C530C" w:rsidP="00FA2C16">
            <w:pPr>
              <w:jc w:val="center"/>
              <w:rPr>
                <w:rFonts w:ascii="Arial" w:hAnsi="Arial" w:cs="Arial"/>
              </w:rPr>
            </w:pPr>
            <w:r w:rsidRPr="000C530C">
              <w:rPr>
                <w:rFonts w:ascii="Arial" w:hAnsi="Arial" w:cs="Arial"/>
              </w:rPr>
              <w:t>0</w:t>
            </w:r>
          </w:p>
        </w:tc>
      </w:tr>
      <w:tr w:rsidR="000C530C" w:rsidRPr="000C530C" w14:paraId="3CE2E3D5" w14:textId="77777777" w:rsidTr="00FA2C16">
        <w:trPr>
          <w:trHeight w:val="300"/>
        </w:trPr>
        <w:tc>
          <w:tcPr>
            <w:tcW w:w="5930" w:type="dxa"/>
            <w:gridSpan w:val="2"/>
            <w:noWrap/>
          </w:tcPr>
          <w:p w14:paraId="4F0CE610" w14:textId="77777777" w:rsidR="000C530C" w:rsidRPr="000C530C" w:rsidRDefault="000C530C" w:rsidP="00FA2C16">
            <w:pPr>
              <w:autoSpaceDE w:val="0"/>
              <w:autoSpaceDN w:val="0"/>
              <w:adjustRightInd w:val="0"/>
              <w:jc w:val="center"/>
              <w:rPr>
                <w:rFonts w:ascii="Arial" w:hAnsi="Arial" w:cs="Arial"/>
              </w:rPr>
            </w:pPr>
            <w:r w:rsidRPr="000C530C">
              <w:rPr>
                <w:rFonts w:ascii="Arial" w:hAnsi="Arial" w:cs="Arial"/>
              </w:rPr>
              <w:t>Interrupted Students</w:t>
            </w:r>
          </w:p>
        </w:tc>
      </w:tr>
      <w:tr w:rsidR="000C530C" w:rsidRPr="000C530C" w14:paraId="5C2773E1" w14:textId="77777777" w:rsidTr="00FA2C16">
        <w:trPr>
          <w:trHeight w:val="300"/>
        </w:trPr>
        <w:tc>
          <w:tcPr>
            <w:tcW w:w="4520" w:type="dxa"/>
            <w:noWrap/>
          </w:tcPr>
          <w:p w14:paraId="674B2B0F" w14:textId="77777777" w:rsidR="000C530C" w:rsidRPr="000C530C" w:rsidRDefault="000C530C" w:rsidP="00FA2C16">
            <w:pPr>
              <w:autoSpaceDE w:val="0"/>
              <w:autoSpaceDN w:val="0"/>
              <w:adjustRightInd w:val="0"/>
              <w:rPr>
                <w:rFonts w:ascii="Arial" w:hAnsi="Arial" w:cs="Arial"/>
              </w:rPr>
            </w:pPr>
          </w:p>
        </w:tc>
        <w:tc>
          <w:tcPr>
            <w:tcW w:w="1410" w:type="dxa"/>
            <w:noWrap/>
          </w:tcPr>
          <w:p w14:paraId="49BFBFA2" w14:textId="77777777" w:rsidR="000C530C" w:rsidRPr="000C530C" w:rsidRDefault="000C530C" w:rsidP="00FA2C16">
            <w:pPr>
              <w:autoSpaceDE w:val="0"/>
              <w:autoSpaceDN w:val="0"/>
              <w:adjustRightInd w:val="0"/>
              <w:jc w:val="center"/>
              <w:rPr>
                <w:rFonts w:ascii="Arial" w:hAnsi="Arial" w:cs="Arial"/>
              </w:rPr>
            </w:pPr>
            <w:r w:rsidRPr="000C530C">
              <w:rPr>
                <w:rFonts w:ascii="Arial" w:hAnsi="Arial" w:cs="Arial"/>
              </w:rPr>
              <w:t>0</w:t>
            </w:r>
          </w:p>
        </w:tc>
      </w:tr>
      <w:tr w:rsidR="000C530C" w:rsidRPr="000C530C" w14:paraId="20D1FB6D" w14:textId="77777777" w:rsidTr="00FA2C16">
        <w:trPr>
          <w:trHeight w:val="300"/>
        </w:trPr>
        <w:tc>
          <w:tcPr>
            <w:tcW w:w="4520" w:type="dxa"/>
            <w:noWrap/>
          </w:tcPr>
          <w:p w14:paraId="70956A42" w14:textId="77777777" w:rsidR="000C530C" w:rsidRPr="000C530C" w:rsidRDefault="000C530C" w:rsidP="00FA2C16">
            <w:pPr>
              <w:autoSpaceDE w:val="0"/>
              <w:autoSpaceDN w:val="0"/>
              <w:adjustRightInd w:val="0"/>
              <w:rPr>
                <w:rFonts w:ascii="Arial" w:hAnsi="Arial" w:cs="Arial"/>
              </w:rPr>
            </w:pPr>
          </w:p>
        </w:tc>
        <w:tc>
          <w:tcPr>
            <w:tcW w:w="1410" w:type="dxa"/>
            <w:noWrap/>
          </w:tcPr>
          <w:p w14:paraId="2F1A58EB" w14:textId="77777777" w:rsidR="000C530C" w:rsidRPr="000C530C" w:rsidRDefault="000C530C" w:rsidP="00FA2C16">
            <w:pPr>
              <w:autoSpaceDE w:val="0"/>
              <w:autoSpaceDN w:val="0"/>
              <w:adjustRightInd w:val="0"/>
              <w:jc w:val="center"/>
              <w:rPr>
                <w:rFonts w:ascii="Arial" w:hAnsi="Arial" w:cs="Arial"/>
              </w:rPr>
            </w:pPr>
          </w:p>
        </w:tc>
      </w:tr>
      <w:tr w:rsidR="000C530C" w:rsidRPr="000C530C" w14:paraId="5221F458" w14:textId="77777777" w:rsidTr="00FA2C16">
        <w:trPr>
          <w:trHeight w:val="300"/>
        </w:trPr>
        <w:tc>
          <w:tcPr>
            <w:tcW w:w="4520" w:type="dxa"/>
            <w:noWrap/>
          </w:tcPr>
          <w:p w14:paraId="32A74616" w14:textId="77777777" w:rsidR="000C530C" w:rsidRPr="000C530C" w:rsidRDefault="000C530C" w:rsidP="00FA2C16">
            <w:pPr>
              <w:autoSpaceDE w:val="0"/>
              <w:autoSpaceDN w:val="0"/>
              <w:adjustRightInd w:val="0"/>
              <w:rPr>
                <w:rFonts w:ascii="Arial" w:hAnsi="Arial" w:cs="Arial"/>
              </w:rPr>
            </w:pPr>
          </w:p>
        </w:tc>
        <w:tc>
          <w:tcPr>
            <w:tcW w:w="1410" w:type="dxa"/>
            <w:noWrap/>
          </w:tcPr>
          <w:p w14:paraId="56388A64" w14:textId="77777777" w:rsidR="000C530C" w:rsidRPr="000C530C" w:rsidRDefault="000C530C" w:rsidP="00FA2C16">
            <w:pPr>
              <w:autoSpaceDE w:val="0"/>
              <w:autoSpaceDN w:val="0"/>
              <w:adjustRightInd w:val="0"/>
              <w:jc w:val="center"/>
              <w:rPr>
                <w:rFonts w:ascii="Arial" w:hAnsi="Arial" w:cs="Arial"/>
              </w:rPr>
            </w:pPr>
            <w:r w:rsidRPr="000C530C">
              <w:rPr>
                <w:rFonts w:ascii="Arial" w:hAnsi="Arial" w:cs="Arial"/>
              </w:rPr>
              <w:t>0</w:t>
            </w:r>
          </w:p>
        </w:tc>
      </w:tr>
    </w:tbl>
    <w:p w14:paraId="7BA7C1E3" w14:textId="77777777" w:rsidR="000C530C" w:rsidRPr="000C530C" w:rsidRDefault="000C530C" w:rsidP="000C530C">
      <w:pPr>
        <w:spacing w:line="240" w:lineRule="auto"/>
        <w:rPr>
          <w:rFonts w:ascii="Arial" w:hAnsi="Arial" w:cs="Arial"/>
          <w:b/>
          <w:bCs/>
        </w:rPr>
      </w:pPr>
      <w:r w:rsidRPr="000C530C">
        <w:rPr>
          <w:rFonts w:ascii="Arial" w:hAnsi="Arial" w:cs="Arial"/>
          <w:b/>
          <w:bCs/>
        </w:rPr>
        <w:t>It is the School’s responsibility to identify and inform interrupted students of the withdrawal of the course and their options for completion</w:t>
      </w:r>
    </w:p>
    <w:tbl>
      <w:tblPr>
        <w:tblStyle w:val="TableGrid"/>
        <w:tblW w:w="0" w:type="auto"/>
        <w:tblInd w:w="0" w:type="dxa"/>
        <w:tblLook w:val="04A0" w:firstRow="1" w:lastRow="0" w:firstColumn="1" w:lastColumn="0" w:noHBand="0" w:noVBand="1"/>
      </w:tblPr>
      <w:tblGrid>
        <w:gridCol w:w="9016"/>
      </w:tblGrid>
      <w:tr w:rsidR="000C530C" w:rsidRPr="000C530C" w14:paraId="61F5B23F" w14:textId="77777777" w:rsidTr="00FA2C16">
        <w:tc>
          <w:tcPr>
            <w:tcW w:w="9016" w:type="dxa"/>
          </w:tcPr>
          <w:p w14:paraId="6DC60D36" w14:textId="77777777" w:rsidR="000C530C" w:rsidRPr="000C530C" w:rsidRDefault="000C530C" w:rsidP="00FA2C16">
            <w:pPr>
              <w:pStyle w:val="NoSpacing"/>
              <w:rPr>
                <w:rFonts w:ascii="Arial" w:hAnsi="Arial" w:cs="Arial"/>
              </w:rPr>
            </w:pPr>
            <w:r w:rsidRPr="000C530C">
              <w:rPr>
                <w:rFonts w:ascii="Arial" w:hAnsi="Arial" w:cs="Arial"/>
              </w:rPr>
              <w:t>Will the withdrawal of the course require any amendments/limitations to module options or delivery patterns?</w:t>
            </w:r>
          </w:p>
        </w:tc>
      </w:tr>
      <w:tr w:rsidR="000C530C" w:rsidRPr="000C530C" w14:paraId="6178A83C" w14:textId="77777777" w:rsidTr="00FA2C16">
        <w:trPr>
          <w:trHeight w:val="433"/>
        </w:trPr>
        <w:tc>
          <w:tcPr>
            <w:tcW w:w="9016" w:type="dxa"/>
          </w:tcPr>
          <w:p w14:paraId="29C40ECD" w14:textId="77777777" w:rsidR="000C530C" w:rsidRPr="000C530C" w:rsidRDefault="000C530C" w:rsidP="00FA2C16">
            <w:pPr>
              <w:spacing w:line="278" w:lineRule="auto"/>
              <w:rPr>
                <w:rFonts w:ascii="Arial" w:hAnsi="Arial" w:cs="Arial"/>
              </w:rPr>
            </w:pPr>
          </w:p>
        </w:tc>
      </w:tr>
    </w:tbl>
    <w:p w14:paraId="6CDAF6DC" w14:textId="77777777" w:rsidR="000C530C" w:rsidRPr="000C530C" w:rsidRDefault="000C530C" w:rsidP="000C530C">
      <w:pPr>
        <w:pStyle w:val="NoSpacing"/>
        <w:rPr>
          <w:rFonts w:ascii="Arial" w:hAnsi="Arial" w:cs="Arial"/>
          <w:sz w:val="22"/>
          <w:szCs w:val="22"/>
        </w:rPr>
      </w:pPr>
    </w:p>
    <w:p w14:paraId="273D59CC" w14:textId="77777777" w:rsidR="000C530C" w:rsidRPr="000C530C" w:rsidRDefault="000C530C" w:rsidP="000C530C">
      <w:pPr>
        <w:pStyle w:val="NoSpacing"/>
        <w:rPr>
          <w:rFonts w:ascii="Arial" w:hAnsi="Arial" w:cs="Arial"/>
          <w:sz w:val="22"/>
          <w:szCs w:val="22"/>
        </w:rPr>
      </w:pPr>
      <w:r w:rsidRPr="000C530C">
        <w:rPr>
          <w:rFonts w:ascii="Arial" w:hAnsi="Arial" w:cs="Arial"/>
          <w:color w:val="FF0000"/>
          <w:sz w:val="22"/>
          <w:szCs w:val="22"/>
        </w:rPr>
        <w:t>[Insert name]</w:t>
      </w:r>
      <w:r w:rsidRPr="000C530C">
        <w:rPr>
          <w:rFonts w:ascii="Arial" w:hAnsi="Arial" w:cs="Arial"/>
          <w:sz w:val="22"/>
          <w:szCs w:val="22"/>
        </w:rPr>
        <w:t xml:space="preserve"> has notified students of the termination of the provision via </w:t>
      </w:r>
      <w:r w:rsidRPr="000C530C">
        <w:rPr>
          <w:rFonts w:ascii="Arial" w:hAnsi="Arial" w:cs="Arial"/>
          <w:color w:val="FF0000"/>
          <w:sz w:val="22"/>
          <w:szCs w:val="22"/>
        </w:rPr>
        <w:t>[email letter any other communication method used]</w:t>
      </w:r>
      <w:r w:rsidRPr="000C530C">
        <w:rPr>
          <w:rFonts w:ascii="Arial" w:hAnsi="Arial" w:cs="Arial"/>
          <w:sz w:val="22"/>
          <w:szCs w:val="22"/>
        </w:rPr>
        <w:t xml:space="preserve"> and advised that students may take </w:t>
      </w:r>
      <w:r w:rsidRPr="000C530C">
        <w:rPr>
          <w:rFonts w:ascii="Arial" w:hAnsi="Arial" w:cs="Arial"/>
          <w:color w:val="FF0000"/>
          <w:sz w:val="22"/>
          <w:szCs w:val="22"/>
        </w:rPr>
        <w:t>[list any exit award]</w:t>
      </w:r>
      <w:r w:rsidRPr="000C530C">
        <w:rPr>
          <w:rFonts w:ascii="Arial" w:hAnsi="Arial" w:cs="Arial"/>
          <w:sz w:val="22"/>
          <w:szCs w:val="22"/>
        </w:rPr>
        <w:t>, or may APL their achieved credits to another provider to complete their award.</w:t>
      </w:r>
    </w:p>
    <w:p w14:paraId="77AAB4F5" w14:textId="77777777" w:rsidR="000C530C" w:rsidRPr="000C530C" w:rsidRDefault="000C530C" w:rsidP="000C530C">
      <w:pPr>
        <w:pStyle w:val="NoSpacing"/>
        <w:rPr>
          <w:rFonts w:ascii="Arial" w:hAnsi="Arial" w:cs="Arial"/>
          <w:sz w:val="22"/>
          <w:szCs w:val="22"/>
        </w:rPr>
      </w:pPr>
    </w:p>
    <w:p w14:paraId="6AED10A4" w14:textId="77777777" w:rsidR="000C530C" w:rsidRPr="000C530C" w:rsidRDefault="000C530C" w:rsidP="000C530C">
      <w:pPr>
        <w:pStyle w:val="NoSpacing"/>
        <w:rPr>
          <w:rFonts w:ascii="Arial" w:hAnsi="Arial" w:cs="Arial"/>
          <w:sz w:val="22"/>
          <w:szCs w:val="22"/>
        </w:rPr>
      </w:pPr>
      <w:r w:rsidRPr="000C530C">
        <w:rPr>
          <w:rFonts w:ascii="Arial" w:hAnsi="Arial" w:cs="Arial"/>
          <w:color w:val="FF0000"/>
          <w:sz w:val="22"/>
          <w:szCs w:val="22"/>
        </w:rPr>
        <w:t xml:space="preserve">[Insert Course Leader name] </w:t>
      </w:r>
      <w:r w:rsidRPr="000C530C">
        <w:rPr>
          <w:rFonts w:ascii="Arial" w:hAnsi="Arial" w:cs="Arial"/>
          <w:sz w:val="22"/>
          <w:szCs w:val="22"/>
        </w:rPr>
        <w:t xml:space="preserve">will notify the external examiner of the termination of the provision along with details of the remaining student numbers to ensure the quality of provision continues to be monitored externally. </w:t>
      </w:r>
      <w:r w:rsidRPr="000C530C">
        <w:rPr>
          <w:rFonts w:ascii="Arial" w:hAnsi="Arial" w:cs="Arial"/>
          <w:color w:val="FF0000"/>
          <w:sz w:val="22"/>
          <w:szCs w:val="22"/>
        </w:rPr>
        <w:t>[Course Leader]</w:t>
      </w:r>
      <w:r w:rsidRPr="000C530C">
        <w:rPr>
          <w:rFonts w:ascii="Arial" w:hAnsi="Arial" w:cs="Arial"/>
          <w:sz w:val="22"/>
          <w:szCs w:val="22"/>
        </w:rPr>
        <w:t xml:space="preserve"> will check and confirm whether there is any need or are there any grounds to extend the tenure of the current external examiner(s) to ensure consistency in the remaining years of the course.</w:t>
      </w:r>
    </w:p>
    <w:p w14:paraId="23A44450" w14:textId="77777777" w:rsidR="000C530C" w:rsidRPr="000C530C" w:rsidRDefault="000C530C" w:rsidP="000C530C">
      <w:pPr>
        <w:pStyle w:val="NoSpacing"/>
        <w:rPr>
          <w:rFonts w:ascii="Arial" w:hAnsi="Arial" w:cs="Arial"/>
          <w:sz w:val="22"/>
          <w:szCs w:val="22"/>
        </w:rPr>
      </w:pPr>
    </w:p>
    <w:p w14:paraId="51268DC2" w14:textId="3F407C66" w:rsidR="000C530C" w:rsidRPr="000C530C" w:rsidRDefault="000C530C" w:rsidP="000C530C">
      <w:pPr>
        <w:pStyle w:val="NoSpacing"/>
        <w:rPr>
          <w:rFonts w:ascii="Arial" w:hAnsi="Arial" w:cs="Arial"/>
          <w:sz w:val="22"/>
          <w:szCs w:val="22"/>
        </w:rPr>
      </w:pPr>
      <w:r w:rsidRPr="000C530C">
        <w:rPr>
          <w:rFonts w:ascii="Arial" w:hAnsi="Arial" w:cs="Arial"/>
          <w:sz w:val="22"/>
          <w:szCs w:val="22"/>
        </w:rPr>
        <w:t xml:space="preserve">The proposed date for completion is </w:t>
      </w:r>
      <w:r w:rsidRPr="000C530C">
        <w:rPr>
          <w:rFonts w:ascii="Arial" w:hAnsi="Arial" w:cs="Arial"/>
          <w:color w:val="FF0000"/>
          <w:sz w:val="22"/>
          <w:szCs w:val="22"/>
        </w:rPr>
        <w:t xml:space="preserve">[insert date] </w:t>
      </w:r>
      <w:r w:rsidRPr="000C530C">
        <w:rPr>
          <w:rFonts w:ascii="Arial" w:hAnsi="Arial" w:cs="Arial"/>
          <w:sz w:val="22"/>
          <w:szCs w:val="22"/>
        </w:rPr>
        <w:t>and this date will be reviewed following the MABs.</w:t>
      </w:r>
    </w:p>
    <w:sectPr w:rsidR="000C530C" w:rsidRPr="000C53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8DAA0" w14:textId="77777777" w:rsidR="00921E57" w:rsidRDefault="00921E57" w:rsidP="000C530C">
      <w:pPr>
        <w:spacing w:after="0" w:line="240" w:lineRule="auto"/>
      </w:pPr>
      <w:r>
        <w:separator/>
      </w:r>
    </w:p>
  </w:endnote>
  <w:endnote w:type="continuationSeparator" w:id="0">
    <w:p w14:paraId="4312B7FE" w14:textId="77777777" w:rsidR="00921E57" w:rsidRDefault="00921E57" w:rsidP="000C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414FA" w14:textId="77777777" w:rsidR="00921E57" w:rsidRDefault="00921E57" w:rsidP="000C530C">
      <w:pPr>
        <w:spacing w:after="0" w:line="240" w:lineRule="auto"/>
      </w:pPr>
      <w:r>
        <w:separator/>
      </w:r>
    </w:p>
  </w:footnote>
  <w:footnote w:type="continuationSeparator" w:id="0">
    <w:p w14:paraId="6DB5B20F" w14:textId="77777777" w:rsidR="00921E57" w:rsidRDefault="00921E57" w:rsidP="000C5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E4114"/>
    <w:multiLevelType w:val="hybridMultilevel"/>
    <w:tmpl w:val="54B03938"/>
    <w:lvl w:ilvl="0" w:tplc="08090001">
      <w:start w:val="1"/>
      <w:numFmt w:val="bullet"/>
      <w:lvlText w:val=""/>
      <w:lvlJc w:val="left"/>
      <w:pPr>
        <w:ind w:left="168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FB3F6C"/>
    <w:multiLevelType w:val="hybridMultilevel"/>
    <w:tmpl w:val="890E495A"/>
    <w:lvl w:ilvl="0" w:tplc="AA922F80">
      <w:start w:val="1"/>
      <w:numFmt w:val="bullet"/>
      <w:lvlText w:val="-"/>
      <w:lvlJc w:val="left"/>
      <w:pPr>
        <w:ind w:left="1684" w:hanging="360"/>
      </w:pPr>
      <w:rPr>
        <w:rFonts w:ascii="Aptos" w:eastAsiaTheme="minorHAnsi" w:hAnsi="Aptos" w:cstheme="minorBidi"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2" w15:restartNumberingAfterBreak="0">
    <w:nsid w:val="605D08E3"/>
    <w:multiLevelType w:val="hybridMultilevel"/>
    <w:tmpl w:val="090EE1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A21D8B"/>
    <w:multiLevelType w:val="hybridMultilevel"/>
    <w:tmpl w:val="604E2DF6"/>
    <w:lvl w:ilvl="0" w:tplc="08090001">
      <w:start w:val="1"/>
      <w:numFmt w:val="bullet"/>
      <w:lvlText w:val=""/>
      <w:lvlJc w:val="left"/>
      <w:pPr>
        <w:ind w:left="168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5254477">
    <w:abstractNumId w:val="2"/>
  </w:num>
  <w:num w:numId="2" w16cid:durableId="1502432402">
    <w:abstractNumId w:val="1"/>
  </w:num>
  <w:num w:numId="3" w16cid:durableId="1346788859">
    <w:abstractNumId w:val="0"/>
  </w:num>
  <w:num w:numId="4" w16cid:durableId="609320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0C"/>
    <w:rsid w:val="0007471D"/>
    <w:rsid w:val="000C530C"/>
    <w:rsid w:val="003C0F8F"/>
    <w:rsid w:val="004E4C25"/>
    <w:rsid w:val="00921E57"/>
    <w:rsid w:val="00EF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7DC4"/>
  <w15:chartTrackingRefBased/>
  <w15:docId w15:val="{E22B568D-6B9B-4FBC-8885-CA856E22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0C"/>
    <w:pPr>
      <w:spacing w:line="256" w:lineRule="auto"/>
    </w:pPr>
    <w:rPr>
      <w:kern w:val="0"/>
      <w:sz w:val="22"/>
      <w:szCs w:val="22"/>
      <w14:ligatures w14:val="none"/>
    </w:rPr>
  </w:style>
  <w:style w:type="paragraph" w:styleId="Heading1">
    <w:name w:val="heading 1"/>
    <w:basedOn w:val="Normal"/>
    <w:next w:val="Normal"/>
    <w:link w:val="Heading1Char"/>
    <w:uiPriority w:val="9"/>
    <w:qFormat/>
    <w:rsid w:val="000C5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30C"/>
    <w:rPr>
      <w:rFonts w:eastAsiaTheme="majorEastAsia" w:cstheme="majorBidi"/>
      <w:color w:val="272727" w:themeColor="text1" w:themeTint="D8"/>
    </w:rPr>
  </w:style>
  <w:style w:type="paragraph" w:styleId="Title">
    <w:name w:val="Title"/>
    <w:basedOn w:val="Normal"/>
    <w:next w:val="Normal"/>
    <w:link w:val="TitleChar"/>
    <w:uiPriority w:val="10"/>
    <w:qFormat/>
    <w:rsid w:val="000C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30C"/>
    <w:pPr>
      <w:spacing w:before="160"/>
      <w:jc w:val="center"/>
    </w:pPr>
    <w:rPr>
      <w:i/>
      <w:iCs/>
      <w:color w:val="404040" w:themeColor="text1" w:themeTint="BF"/>
    </w:rPr>
  </w:style>
  <w:style w:type="character" w:customStyle="1" w:styleId="QuoteChar">
    <w:name w:val="Quote Char"/>
    <w:basedOn w:val="DefaultParagraphFont"/>
    <w:link w:val="Quote"/>
    <w:uiPriority w:val="29"/>
    <w:rsid w:val="000C530C"/>
    <w:rPr>
      <w:i/>
      <w:iCs/>
      <w:color w:val="404040" w:themeColor="text1" w:themeTint="BF"/>
    </w:rPr>
  </w:style>
  <w:style w:type="paragraph" w:styleId="ListParagraph">
    <w:name w:val="List Paragraph"/>
    <w:basedOn w:val="Normal"/>
    <w:uiPriority w:val="34"/>
    <w:qFormat/>
    <w:rsid w:val="000C530C"/>
    <w:pPr>
      <w:ind w:left="720"/>
      <w:contextualSpacing/>
    </w:pPr>
  </w:style>
  <w:style w:type="character" w:styleId="IntenseEmphasis">
    <w:name w:val="Intense Emphasis"/>
    <w:basedOn w:val="DefaultParagraphFont"/>
    <w:uiPriority w:val="21"/>
    <w:qFormat/>
    <w:rsid w:val="000C530C"/>
    <w:rPr>
      <w:i/>
      <w:iCs/>
      <w:color w:val="0F4761" w:themeColor="accent1" w:themeShade="BF"/>
    </w:rPr>
  </w:style>
  <w:style w:type="paragraph" w:styleId="IntenseQuote">
    <w:name w:val="Intense Quote"/>
    <w:basedOn w:val="Normal"/>
    <w:next w:val="Normal"/>
    <w:link w:val="IntenseQuoteChar"/>
    <w:uiPriority w:val="30"/>
    <w:qFormat/>
    <w:rsid w:val="000C5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30C"/>
    <w:rPr>
      <w:i/>
      <w:iCs/>
      <w:color w:val="0F4761" w:themeColor="accent1" w:themeShade="BF"/>
    </w:rPr>
  </w:style>
  <w:style w:type="character" w:styleId="IntenseReference">
    <w:name w:val="Intense Reference"/>
    <w:basedOn w:val="DefaultParagraphFont"/>
    <w:uiPriority w:val="32"/>
    <w:qFormat/>
    <w:rsid w:val="000C530C"/>
    <w:rPr>
      <w:b/>
      <w:bCs/>
      <w:smallCaps/>
      <w:color w:val="0F4761" w:themeColor="accent1" w:themeShade="BF"/>
      <w:spacing w:val="5"/>
    </w:rPr>
  </w:style>
  <w:style w:type="paragraph" w:styleId="NoSpacing">
    <w:name w:val="No Spacing"/>
    <w:uiPriority w:val="1"/>
    <w:qFormat/>
    <w:rsid w:val="000C530C"/>
    <w:pPr>
      <w:spacing w:after="0" w:line="240" w:lineRule="auto"/>
    </w:pPr>
  </w:style>
  <w:style w:type="table" w:styleId="TableGrid">
    <w:name w:val="Table Grid"/>
    <w:basedOn w:val="TableNormal"/>
    <w:uiPriority w:val="39"/>
    <w:rsid w:val="000C530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30C"/>
    <w:rPr>
      <w:kern w:val="0"/>
      <w:sz w:val="22"/>
      <w:szCs w:val="22"/>
      <w14:ligatures w14:val="none"/>
    </w:rPr>
  </w:style>
  <w:style w:type="paragraph" w:styleId="Footer">
    <w:name w:val="footer"/>
    <w:basedOn w:val="Normal"/>
    <w:link w:val="FooterChar"/>
    <w:uiPriority w:val="99"/>
    <w:unhideWhenUsed/>
    <w:rsid w:val="000C5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30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4</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Knowles</dc:creator>
  <cp:keywords/>
  <dc:description/>
  <cp:lastModifiedBy>Hannah Armitage</cp:lastModifiedBy>
  <cp:revision>2</cp:revision>
  <dcterms:created xsi:type="dcterms:W3CDTF">2024-11-13T11:08:00Z</dcterms:created>
  <dcterms:modified xsi:type="dcterms:W3CDTF">2024-11-13T11:08:00Z</dcterms:modified>
</cp:coreProperties>
</file>