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2221" w14:textId="4BD367EB" w:rsidR="007B1BB4" w:rsidRPr="007B1BB4" w:rsidRDefault="008C01C2" w:rsidP="007B1BB4">
      <w:pPr>
        <w:spacing w:before="2400"/>
        <w:jc w:val="center"/>
        <w:rPr>
          <w:rFonts w:ascii="Arial" w:hAnsi="Arial" w:cs="Arial"/>
          <w:b/>
          <w:bCs/>
          <w:color w:val="0070C0"/>
          <w:sz w:val="52"/>
          <w:szCs w:val="52"/>
        </w:rPr>
      </w:pPr>
      <w:r w:rsidRPr="007B1BB4">
        <w:rPr>
          <w:rFonts w:ascii="Arial" w:hAnsi="Arial" w:cs="Arial"/>
          <w:b/>
          <w:bCs/>
          <w:color w:val="0070C0"/>
          <w:sz w:val="52"/>
          <w:szCs w:val="52"/>
        </w:rPr>
        <w:t>C</w:t>
      </w:r>
      <w:r w:rsidR="00E32CD3" w:rsidRPr="007B1BB4">
        <w:rPr>
          <w:rFonts w:ascii="Arial" w:hAnsi="Arial" w:cs="Arial"/>
          <w:b/>
          <w:bCs/>
          <w:color w:val="0070C0"/>
          <w:sz w:val="52"/>
          <w:szCs w:val="52"/>
        </w:rPr>
        <w:t>ollaborative Provision</w:t>
      </w:r>
    </w:p>
    <w:p w14:paraId="49590264" w14:textId="1ABECF46" w:rsidR="00E32CD3" w:rsidRPr="007B1BB4" w:rsidRDefault="00E32CD3" w:rsidP="007B1BB4">
      <w:pPr>
        <w:spacing w:before="160"/>
        <w:jc w:val="center"/>
        <w:rPr>
          <w:rFonts w:ascii="Arial" w:hAnsi="Arial" w:cs="Arial"/>
          <w:b/>
          <w:bCs/>
          <w:color w:val="0070C0"/>
          <w:sz w:val="36"/>
          <w:szCs w:val="36"/>
        </w:rPr>
      </w:pPr>
      <w:r w:rsidRPr="007B1BB4">
        <w:rPr>
          <w:rFonts w:ascii="Arial" w:hAnsi="Arial" w:cs="Arial"/>
          <w:b/>
          <w:bCs/>
          <w:color w:val="0070C0"/>
          <w:sz w:val="36"/>
          <w:szCs w:val="36"/>
        </w:rPr>
        <w:t xml:space="preserve">Quick Guide </w:t>
      </w:r>
      <w:r w:rsidR="007B1BB4" w:rsidRPr="007B1BB4">
        <w:rPr>
          <w:rFonts w:ascii="Arial" w:hAnsi="Arial" w:cs="Arial"/>
          <w:b/>
          <w:bCs/>
          <w:color w:val="0070C0"/>
          <w:sz w:val="36"/>
          <w:szCs w:val="36"/>
        </w:rPr>
        <w:t xml:space="preserve">to Student </w:t>
      </w:r>
      <w:r w:rsidR="008179C6">
        <w:rPr>
          <w:rFonts w:ascii="Arial" w:hAnsi="Arial" w:cs="Arial"/>
          <w:b/>
          <w:bCs/>
          <w:color w:val="0070C0"/>
          <w:sz w:val="36"/>
          <w:szCs w:val="36"/>
        </w:rPr>
        <w:t>C</w:t>
      </w:r>
      <w:r w:rsidR="007B1BB4" w:rsidRPr="007B1BB4">
        <w:rPr>
          <w:rFonts w:ascii="Arial" w:hAnsi="Arial" w:cs="Arial"/>
          <w:b/>
          <w:bCs/>
          <w:color w:val="0070C0"/>
          <w:sz w:val="36"/>
          <w:szCs w:val="36"/>
        </w:rPr>
        <w:t>asework</w:t>
      </w:r>
    </w:p>
    <w:p w14:paraId="4F18606D" w14:textId="0C6CCBA5" w:rsidR="00E32CD3" w:rsidRPr="002320E2" w:rsidRDefault="005F0D40" w:rsidP="002320E2">
      <w:pPr>
        <w:pBdr>
          <w:bottom w:val="single" w:sz="4" w:space="1" w:color="auto"/>
        </w:pBdr>
        <w:spacing w:before="200"/>
        <w:jc w:val="center"/>
        <w:rPr>
          <w:rFonts w:ascii="Arial" w:hAnsi="Arial" w:cs="Arial"/>
          <w:i/>
          <w:iCs/>
          <w:color w:val="0070C0"/>
          <w:sz w:val="28"/>
          <w:szCs w:val="28"/>
        </w:rPr>
      </w:pPr>
      <w:r w:rsidRPr="002320E2">
        <w:rPr>
          <w:rFonts w:ascii="Arial" w:hAnsi="Arial" w:cs="Arial"/>
          <w:i/>
          <w:iCs/>
          <w:color w:val="0070C0"/>
          <w:sz w:val="28"/>
          <w:szCs w:val="28"/>
        </w:rPr>
        <w:t>Explains h</w:t>
      </w:r>
      <w:r w:rsidR="00E32CD3" w:rsidRPr="002320E2">
        <w:rPr>
          <w:rFonts w:ascii="Arial" w:hAnsi="Arial" w:cs="Arial"/>
          <w:i/>
          <w:iCs/>
          <w:color w:val="0070C0"/>
          <w:sz w:val="28"/>
          <w:szCs w:val="28"/>
        </w:rPr>
        <w:t>ow to tackle Academic Misconduct, Complaints, Results Appeals, Fitness to Practise, Fitness to Study, Extenuating Circumstances and Disciplinaries</w:t>
      </w:r>
      <w:r w:rsidRPr="002320E2">
        <w:rPr>
          <w:rFonts w:ascii="Arial" w:hAnsi="Arial" w:cs="Arial"/>
          <w:i/>
          <w:iCs/>
          <w:color w:val="0070C0"/>
          <w:sz w:val="28"/>
          <w:szCs w:val="28"/>
        </w:rPr>
        <w:t xml:space="preserve"> at Partner Institutions</w:t>
      </w:r>
    </w:p>
    <w:p w14:paraId="0B62FC68" w14:textId="77777777" w:rsidR="00F46766" w:rsidRDefault="00F46766"/>
    <w:p w14:paraId="3180E4EF" w14:textId="0E4B3AF9" w:rsidR="00F46766" w:rsidRDefault="00F46766"/>
    <w:p w14:paraId="77220F1C" w14:textId="70AAAF43" w:rsidR="00F46766" w:rsidRDefault="00F46766"/>
    <w:p w14:paraId="5F12948D" w14:textId="77777777" w:rsidR="00F46766" w:rsidRDefault="00F46766"/>
    <w:p w14:paraId="5369C18A" w14:textId="3DF88C2C" w:rsidR="00F46766" w:rsidRDefault="00F46766" w:rsidP="00F46766">
      <w:pPr>
        <w:jc w:val="center"/>
      </w:pPr>
      <w:r>
        <w:rPr>
          <w:noProof/>
        </w:rPr>
        <w:drawing>
          <wp:inline distT="0" distB="0" distL="0" distR="0" wp14:anchorId="032639E6" wp14:editId="3D5F9704">
            <wp:extent cx="5731510" cy="3821430"/>
            <wp:effectExtent l="0" t="0" r="2540" b="7620"/>
            <wp:docPr id="1" name="Picture 1" descr="A group of people outside of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outside of a building&#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821430"/>
                    </a:xfrm>
                    <a:prstGeom prst="rect">
                      <a:avLst/>
                    </a:prstGeom>
                  </pic:spPr>
                </pic:pic>
              </a:graphicData>
            </a:graphic>
          </wp:inline>
        </w:drawing>
      </w:r>
    </w:p>
    <w:p w14:paraId="00A4F97F" w14:textId="77777777" w:rsidR="00F46766" w:rsidRDefault="00F46766"/>
    <w:p w14:paraId="3E87D731" w14:textId="77777777" w:rsidR="00F46766" w:rsidRDefault="00F46766"/>
    <w:p w14:paraId="25412883" w14:textId="77777777" w:rsidR="007D33C3" w:rsidRDefault="00E32CD3" w:rsidP="007D33C3">
      <w:pPr>
        <w:rPr>
          <w:noProof/>
        </w:rPr>
      </w:pPr>
      <w:r>
        <w:br w:type="page"/>
      </w:r>
      <w:r w:rsidR="007D33C3">
        <w:fldChar w:fldCharType="begin"/>
      </w:r>
      <w:r w:rsidR="007D33C3">
        <w:instrText xml:space="preserve"> TOC \h \z \t "Heading C,1" </w:instrText>
      </w:r>
      <w:r w:rsidR="007D33C3">
        <w:fldChar w:fldCharType="separate"/>
      </w:r>
    </w:p>
    <w:p w14:paraId="4FBBE4A2" w14:textId="4005E835" w:rsidR="007D33C3" w:rsidRDefault="008179C6">
      <w:pPr>
        <w:pStyle w:val="TOC1"/>
        <w:tabs>
          <w:tab w:val="right" w:leader="dot" w:pos="9016"/>
        </w:tabs>
        <w:rPr>
          <w:rFonts w:eastAsiaTheme="minorEastAsia"/>
          <w:noProof/>
          <w:lang w:eastAsia="en-GB"/>
        </w:rPr>
      </w:pPr>
      <w:hyperlink w:anchor="_Toc131499788" w:history="1">
        <w:r w:rsidR="007D33C3" w:rsidRPr="00244774">
          <w:rPr>
            <w:rStyle w:val="Hyperlink"/>
            <w:noProof/>
          </w:rPr>
          <w:t>CP Academic Misconduct</w:t>
        </w:r>
        <w:r w:rsidR="007D33C3">
          <w:rPr>
            <w:noProof/>
            <w:webHidden/>
          </w:rPr>
          <w:tab/>
        </w:r>
        <w:r w:rsidR="007D33C3">
          <w:rPr>
            <w:noProof/>
            <w:webHidden/>
          </w:rPr>
          <w:fldChar w:fldCharType="begin"/>
        </w:r>
        <w:r w:rsidR="007D33C3">
          <w:rPr>
            <w:noProof/>
            <w:webHidden/>
          </w:rPr>
          <w:instrText xml:space="preserve"> PAGEREF _Toc131499788 \h </w:instrText>
        </w:r>
        <w:r w:rsidR="007D33C3">
          <w:rPr>
            <w:noProof/>
            <w:webHidden/>
          </w:rPr>
        </w:r>
        <w:r w:rsidR="007D33C3">
          <w:rPr>
            <w:noProof/>
            <w:webHidden/>
          </w:rPr>
          <w:fldChar w:fldCharType="separate"/>
        </w:r>
        <w:r w:rsidR="00BC2F38">
          <w:rPr>
            <w:noProof/>
            <w:webHidden/>
          </w:rPr>
          <w:t>3</w:t>
        </w:r>
        <w:r w:rsidR="007D33C3">
          <w:rPr>
            <w:noProof/>
            <w:webHidden/>
          </w:rPr>
          <w:fldChar w:fldCharType="end"/>
        </w:r>
      </w:hyperlink>
    </w:p>
    <w:p w14:paraId="763EF9C8" w14:textId="50AB82A6" w:rsidR="007D33C3" w:rsidRDefault="008179C6">
      <w:pPr>
        <w:pStyle w:val="TOC1"/>
        <w:tabs>
          <w:tab w:val="right" w:leader="dot" w:pos="9016"/>
        </w:tabs>
        <w:rPr>
          <w:rFonts w:eastAsiaTheme="minorEastAsia"/>
          <w:noProof/>
          <w:lang w:eastAsia="en-GB"/>
        </w:rPr>
      </w:pPr>
      <w:hyperlink w:anchor="_Toc131499789" w:history="1">
        <w:r w:rsidR="007D33C3" w:rsidRPr="00244774">
          <w:rPr>
            <w:rStyle w:val="Hyperlink"/>
            <w:noProof/>
          </w:rPr>
          <w:t>CP Student Complaints</w:t>
        </w:r>
        <w:r w:rsidR="007D33C3">
          <w:rPr>
            <w:noProof/>
            <w:webHidden/>
          </w:rPr>
          <w:tab/>
        </w:r>
        <w:r w:rsidR="007D33C3">
          <w:rPr>
            <w:noProof/>
            <w:webHidden/>
          </w:rPr>
          <w:fldChar w:fldCharType="begin"/>
        </w:r>
        <w:r w:rsidR="007D33C3">
          <w:rPr>
            <w:noProof/>
            <w:webHidden/>
          </w:rPr>
          <w:instrText xml:space="preserve"> PAGEREF _Toc131499789 \h </w:instrText>
        </w:r>
        <w:r w:rsidR="007D33C3">
          <w:rPr>
            <w:noProof/>
            <w:webHidden/>
          </w:rPr>
        </w:r>
        <w:r w:rsidR="007D33C3">
          <w:rPr>
            <w:noProof/>
            <w:webHidden/>
          </w:rPr>
          <w:fldChar w:fldCharType="separate"/>
        </w:r>
        <w:r w:rsidR="00BC2F38">
          <w:rPr>
            <w:noProof/>
            <w:webHidden/>
          </w:rPr>
          <w:t>5</w:t>
        </w:r>
        <w:r w:rsidR="007D33C3">
          <w:rPr>
            <w:noProof/>
            <w:webHidden/>
          </w:rPr>
          <w:fldChar w:fldCharType="end"/>
        </w:r>
      </w:hyperlink>
    </w:p>
    <w:p w14:paraId="6901732D" w14:textId="044849A7" w:rsidR="007D33C3" w:rsidRDefault="008179C6">
      <w:pPr>
        <w:pStyle w:val="TOC1"/>
        <w:tabs>
          <w:tab w:val="right" w:leader="dot" w:pos="9016"/>
        </w:tabs>
        <w:rPr>
          <w:rFonts w:eastAsiaTheme="minorEastAsia"/>
          <w:noProof/>
          <w:lang w:eastAsia="en-GB"/>
        </w:rPr>
      </w:pPr>
      <w:hyperlink w:anchor="_Toc131499790" w:history="1">
        <w:r w:rsidR="007D33C3" w:rsidRPr="00244774">
          <w:rPr>
            <w:rStyle w:val="Hyperlink"/>
            <w:noProof/>
          </w:rPr>
          <w:t>CP Results Appeals</w:t>
        </w:r>
        <w:r w:rsidR="007D33C3">
          <w:rPr>
            <w:noProof/>
            <w:webHidden/>
          </w:rPr>
          <w:tab/>
        </w:r>
        <w:r w:rsidR="007D33C3">
          <w:rPr>
            <w:noProof/>
            <w:webHidden/>
          </w:rPr>
          <w:fldChar w:fldCharType="begin"/>
        </w:r>
        <w:r w:rsidR="007D33C3">
          <w:rPr>
            <w:noProof/>
            <w:webHidden/>
          </w:rPr>
          <w:instrText xml:space="preserve"> PAGEREF _Toc131499790 \h </w:instrText>
        </w:r>
        <w:r w:rsidR="007D33C3">
          <w:rPr>
            <w:noProof/>
            <w:webHidden/>
          </w:rPr>
        </w:r>
        <w:r w:rsidR="007D33C3">
          <w:rPr>
            <w:noProof/>
            <w:webHidden/>
          </w:rPr>
          <w:fldChar w:fldCharType="separate"/>
        </w:r>
        <w:r w:rsidR="00BC2F38">
          <w:rPr>
            <w:noProof/>
            <w:webHidden/>
          </w:rPr>
          <w:t>7</w:t>
        </w:r>
        <w:r w:rsidR="007D33C3">
          <w:rPr>
            <w:noProof/>
            <w:webHidden/>
          </w:rPr>
          <w:fldChar w:fldCharType="end"/>
        </w:r>
      </w:hyperlink>
    </w:p>
    <w:p w14:paraId="77AC798F" w14:textId="437C3AF1" w:rsidR="007D33C3" w:rsidRDefault="008179C6">
      <w:pPr>
        <w:pStyle w:val="TOC1"/>
        <w:tabs>
          <w:tab w:val="right" w:leader="dot" w:pos="9016"/>
        </w:tabs>
        <w:rPr>
          <w:rFonts w:eastAsiaTheme="minorEastAsia"/>
          <w:noProof/>
          <w:lang w:eastAsia="en-GB"/>
        </w:rPr>
      </w:pPr>
      <w:hyperlink w:anchor="_Toc131499791" w:history="1">
        <w:r w:rsidR="007D33C3" w:rsidRPr="00244774">
          <w:rPr>
            <w:rStyle w:val="Hyperlink"/>
            <w:noProof/>
          </w:rPr>
          <w:t>CP Fitness to Practise Procedures</w:t>
        </w:r>
        <w:r w:rsidR="007D33C3">
          <w:rPr>
            <w:noProof/>
            <w:webHidden/>
          </w:rPr>
          <w:tab/>
        </w:r>
        <w:r w:rsidR="007D33C3">
          <w:rPr>
            <w:noProof/>
            <w:webHidden/>
          </w:rPr>
          <w:fldChar w:fldCharType="begin"/>
        </w:r>
        <w:r w:rsidR="007D33C3">
          <w:rPr>
            <w:noProof/>
            <w:webHidden/>
          </w:rPr>
          <w:instrText xml:space="preserve"> PAGEREF _Toc131499791 \h </w:instrText>
        </w:r>
        <w:r w:rsidR="007D33C3">
          <w:rPr>
            <w:noProof/>
            <w:webHidden/>
          </w:rPr>
        </w:r>
        <w:r w:rsidR="007D33C3">
          <w:rPr>
            <w:noProof/>
            <w:webHidden/>
          </w:rPr>
          <w:fldChar w:fldCharType="separate"/>
        </w:r>
        <w:r w:rsidR="00BC2F38">
          <w:rPr>
            <w:noProof/>
            <w:webHidden/>
          </w:rPr>
          <w:t>8</w:t>
        </w:r>
        <w:r w:rsidR="007D33C3">
          <w:rPr>
            <w:noProof/>
            <w:webHidden/>
          </w:rPr>
          <w:fldChar w:fldCharType="end"/>
        </w:r>
      </w:hyperlink>
    </w:p>
    <w:p w14:paraId="2EC05897" w14:textId="3824E76F" w:rsidR="007D33C3" w:rsidRDefault="008179C6">
      <w:pPr>
        <w:pStyle w:val="TOC1"/>
        <w:tabs>
          <w:tab w:val="right" w:leader="dot" w:pos="9016"/>
        </w:tabs>
        <w:rPr>
          <w:rFonts w:eastAsiaTheme="minorEastAsia"/>
          <w:noProof/>
          <w:lang w:eastAsia="en-GB"/>
        </w:rPr>
      </w:pPr>
      <w:hyperlink w:anchor="_Toc131499792" w:history="1">
        <w:r w:rsidR="007D33C3" w:rsidRPr="00244774">
          <w:rPr>
            <w:rStyle w:val="Hyperlink"/>
            <w:noProof/>
          </w:rPr>
          <w:t>CP Extenuating Circumstances</w:t>
        </w:r>
        <w:r w:rsidR="007D33C3">
          <w:rPr>
            <w:noProof/>
            <w:webHidden/>
          </w:rPr>
          <w:tab/>
        </w:r>
        <w:r w:rsidR="007D33C3">
          <w:rPr>
            <w:noProof/>
            <w:webHidden/>
          </w:rPr>
          <w:fldChar w:fldCharType="begin"/>
        </w:r>
        <w:r w:rsidR="007D33C3">
          <w:rPr>
            <w:noProof/>
            <w:webHidden/>
          </w:rPr>
          <w:instrText xml:space="preserve"> PAGEREF _Toc131499792 \h </w:instrText>
        </w:r>
        <w:r w:rsidR="007D33C3">
          <w:rPr>
            <w:noProof/>
            <w:webHidden/>
          </w:rPr>
        </w:r>
        <w:r w:rsidR="007D33C3">
          <w:rPr>
            <w:noProof/>
            <w:webHidden/>
          </w:rPr>
          <w:fldChar w:fldCharType="separate"/>
        </w:r>
        <w:r w:rsidR="00BC2F38">
          <w:rPr>
            <w:noProof/>
            <w:webHidden/>
          </w:rPr>
          <w:t>10</w:t>
        </w:r>
        <w:r w:rsidR="007D33C3">
          <w:rPr>
            <w:noProof/>
            <w:webHidden/>
          </w:rPr>
          <w:fldChar w:fldCharType="end"/>
        </w:r>
      </w:hyperlink>
    </w:p>
    <w:p w14:paraId="2413533A" w14:textId="017C0A85" w:rsidR="007D33C3" w:rsidRDefault="008179C6">
      <w:pPr>
        <w:pStyle w:val="TOC1"/>
        <w:tabs>
          <w:tab w:val="right" w:leader="dot" w:pos="9016"/>
        </w:tabs>
        <w:rPr>
          <w:rFonts w:eastAsiaTheme="minorEastAsia"/>
          <w:noProof/>
          <w:lang w:eastAsia="en-GB"/>
        </w:rPr>
      </w:pPr>
      <w:hyperlink w:anchor="_Toc131499793" w:history="1">
        <w:r w:rsidR="007D33C3" w:rsidRPr="00244774">
          <w:rPr>
            <w:rStyle w:val="Hyperlink"/>
            <w:noProof/>
          </w:rPr>
          <w:t>Disciplinary</w:t>
        </w:r>
        <w:r w:rsidR="007D33C3">
          <w:rPr>
            <w:noProof/>
            <w:webHidden/>
          </w:rPr>
          <w:tab/>
        </w:r>
        <w:r w:rsidR="007D33C3">
          <w:rPr>
            <w:noProof/>
            <w:webHidden/>
          </w:rPr>
          <w:fldChar w:fldCharType="begin"/>
        </w:r>
        <w:r w:rsidR="007D33C3">
          <w:rPr>
            <w:noProof/>
            <w:webHidden/>
          </w:rPr>
          <w:instrText xml:space="preserve"> PAGEREF _Toc131499793 \h </w:instrText>
        </w:r>
        <w:r w:rsidR="007D33C3">
          <w:rPr>
            <w:noProof/>
            <w:webHidden/>
          </w:rPr>
        </w:r>
        <w:r w:rsidR="007D33C3">
          <w:rPr>
            <w:noProof/>
            <w:webHidden/>
          </w:rPr>
          <w:fldChar w:fldCharType="separate"/>
        </w:r>
        <w:r w:rsidR="00BC2F38">
          <w:rPr>
            <w:noProof/>
            <w:webHidden/>
          </w:rPr>
          <w:t>11</w:t>
        </w:r>
        <w:r w:rsidR="007D33C3">
          <w:rPr>
            <w:noProof/>
            <w:webHidden/>
          </w:rPr>
          <w:fldChar w:fldCharType="end"/>
        </w:r>
      </w:hyperlink>
    </w:p>
    <w:p w14:paraId="3EBC3CBB" w14:textId="59AB8CB0" w:rsidR="007D33C3" w:rsidRDefault="007D33C3" w:rsidP="007D33C3">
      <w:r>
        <w:fldChar w:fldCharType="end"/>
      </w:r>
      <w:r>
        <w:br w:type="page"/>
      </w:r>
    </w:p>
    <w:p w14:paraId="7DFB90A8" w14:textId="77777777" w:rsidR="005F0D40" w:rsidRPr="00871E23" w:rsidRDefault="005F0D40" w:rsidP="005F0D40">
      <w:pPr>
        <w:pStyle w:val="HeadingC"/>
      </w:pPr>
      <w:bookmarkStart w:id="0" w:name="_Toc131499497"/>
      <w:bookmarkStart w:id="1" w:name="_Toc131499788"/>
      <w:bookmarkStart w:id="2" w:name="_Toc471747057"/>
      <w:r>
        <w:lastRenderedPageBreak/>
        <w:t xml:space="preserve">CP </w:t>
      </w:r>
      <w:r w:rsidRPr="00871E23">
        <w:t xml:space="preserve">Academic </w:t>
      </w:r>
      <w:r>
        <w:t>Misconduct</w:t>
      </w:r>
      <w:bookmarkEnd w:id="0"/>
      <w:bookmarkEnd w:id="1"/>
      <w:r w:rsidRPr="00871E23">
        <w:t xml:space="preserve"> </w:t>
      </w:r>
      <w:bookmarkEnd w:id="2"/>
    </w:p>
    <w:p w14:paraId="79EF9C2B" w14:textId="7D47C7DB" w:rsidR="005F0D40" w:rsidRDefault="005F0D40" w:rsidP="005F0D40">
      <w:pPr>
        <w:pStyle w:val="BodyText1"/>
      </w:pPr>
      <w:r w:rsidRPr="00C81BEB">
        <w:t xml:space="preserve">The </w:t>
      </w:r>
      <w:r w:rsidRPr="007A0B9C">
        <w:t xml:space="preserve">University of Huddersfield’s </w:t>
      </w:r>
      <w:r>
        <w:t>Academic Misconduct policy and processes</w:t>
      </w:r>
      <w:r w:rsidRPr="007A0B9C">
        <w:t xml:space="preserve"> </w:t>
      </w:r>
      <w:r>
        <w:t>apply</w:t>
      </w:r>
      <w:r w:rsidRPr="007A0B9C">
        <w:t xml:space="preserve"> to all courses </w:t>
      </w:r>
      <w:r>
        <w:t xml:space="preserve">and University of Huddersfield students at </w:t>
      </w:r>
      <w:r w:rsidRPr="007A0B9C">
        <w:t>PI</w:t>
      </w:r>
      <w:r>
        <w:t>s</w:t>
      </w:r>
      <w:r w:rsidRPr="007A0B9C">
        <w:t>.</w:t>
      </w:r>
      <w:r>
        <w:t xml:space="preserve"> The DALO must</w:t>
      </w:r>
      <w:r w:rsidR="002320E2">
        <w:t xml:space="preserve"> make sure</w:t>
      </w:r>
      <w:r>
        <w:t>:</w:t>
      </w:r>
    </w:p>
    <w:p w14:paraId="4BD9E5F6" w14:textId="45CB14E5" w:rsidR="005F0D40" w:rsidRDefault="005F0D40" w:rsidP="002320E2">
      <w:pPr>
        <w:pStyle w:val="BodyText1"/>
        <w:numPr>
          <w:ilvl w:val="0"/>
          <w:numId w:val="1"/>
        </w:numPr>
      </w:pPr>
      <w:r>
        <w:t xml:space="preserve">the PI issues students with </w:t>
      </w:r>
      <w:hyperlink r:id="rId9" w:history="1">
        <w:r w:rsidRPr="00BE4D17">
          <w:rPr>
            <w:rStyle w:val="Hyperlink"/>
          </w:rPr>
          <w:t>section 10 of the Regulations for Taught Students</w:t>
        </w:r>
      </w:hyperlink>
      <w:r>
        <w:rPr>
          <w:rStyle w:val="Hyperlink"/>
        </w:rPr>
        <w:t xml:space="preserve"> </w:t>
      </w:r>
      <w:r>
        <w:t xml:space="preserve">during their induction </w:t>
      </w:r>
    </w:p>
    <w:p w14:paraId="304D9D5E" w14:textId="6439898E" w:rsidR="005F0D40" w:rsidRDefault="005F0D40" w:rsidP="002320E2">
      <w:pPr>
        <w:pStyle w:val="BodyText1"/>
        <w:numPr>
          <w:ilvl w:val="0"/>
          <w:numId w:val="1"/>
        </w:numPr>
      </w:pPr>
      <w:r>
        <w:t xml:space="preserve">all staff and students are aware of AM issues and that students need to complete the Academic Misconduct module. </w:t>
      </w:r>
    </w:p>
    <w:p w14:paraId="36E968A1" w14:textId="5E565026" w:rsidR="005F0D40" w:rsidRPr="007A0B9C" w:rsidRDefault="005F0D40" w:rsidP="005F0D40">
      <w:pPr>
        <w:pStyle w:val="BodyText1"/>
      </w:pPr>
      <w:r>
        <w:t>Note:</w:t>
      </w:r>
      <w:r w:rsidRPr="00D31BD1">
        <w:t xml:space="preserve"> </w:t>
      </w:r>
      <w:r>
        <w:t>Academic Misconduct procedures at any CP partner institution must reflect the University’s procedures for dealing with internal courses. This information is agreed at (re)validation and monitored by the DALO and is reflected in the contract of collaboration. The process is outlined below</w:t>
      </w:r>
      <w:r w:rsidRPr="007A0B9C">
        <w:t>:</w:t>
      </w:r>
    </w:p>
    <w:tbl>
      <w:tblPr>
        <w:tblStyle w:val="ListTable3-Accent5"/>
        <w:tblW w:w="0" w:type="auto"/>
        <w:tblLook w:val="04A0" w:firstRow="1" w:lastRow="0" w:firstColumn="1" w:lastColumn="0" w:noHBand="0" w:noVBand="1"/>
        <w:tblCaption w:val="Academic misconduct"/>
        <w:tblDescription w:val="Actions for the Academic Misconduct policy process"/>
      </w:tblPr>
      <w:tblGrid>
        <w:gridCol w:w="801"/>
        <w:gridCol w:w="8215"/>
      </w:tblGrid>
      <w:tr w:rsidR="005F0D40" w14:paraId="500D6603" w14:textId="77777777" w:rsidTr="009F576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07" w:type="dxa"/>
          </w:tcPr>
          <w:p w14:paraId="335FBC09" w14:textId="77777777" w:rsidR="005F0D40" w:rsidRPr="00411F2C" w:rsidRDefault="005F0D40" w:rsidP="009F576F">
            <w:pPr>
              <w:pStyle w:val="BodyText1"/>
            </w:pPr>
            <w:r w:rsidRPr="00411F2C">
              <w:t>Step</w:t>
            </w:r>
          </w:p>
        </w:tc>
        <w:tc>
          <w:tcPr>
            <w:tcW w:w="8821" w:type="dxa"/>
          </w:tcPr>
          <w:p w14:paraId="7ABD6D0C" w14:textId="77777777" w:rsidR="005F0D40" w:rsidRPr="00411F2C" w:rsidRDefault="005F0D40" w:rsidP="009F576F">
            <w:pPr>
              <w:pStyle w:val="BodyText1"/>
              <w:cnfStyle w:val="100000000000" w:firstRow="1" w:lastRow="0" w:firstColumn="0" w:lastColumn="0" w:oddVBand="0" w:evenVBand="0" w:oddHBand="0" w:evenHBand="0" w:firstRowFirstColumn="0" w:firstRowLastColumn="0" w:lastRowFirstColumn="0" w:lastRowLastColumn="0"/>
            </w:pPr>
            <w:r w:rsidRPr="00411F2C">
              <w:t>Action</w:t>
            </w:r>
          </w:p>
        </w:tc>
      </w:tr>
      <w:tr w:rsidR="005F0D40" w14:paraId="043285AE"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tcPr>
          <w:p w14:paraId="2D0F5649" w14:textId="77777777" w:rsidR="005F0D40" w:rsidRDefault="005F0D40" w:rsidP="009F576F">
            <w:pPr>
              <w:pStyle w:val="BodyText1"/>
            </w:pPr>
            <w:r>
              <w:t>1</w:t>
            </w:r>
          </w:p>
        </w:tc>
        <w:tc>
          <w:tcPr>
            <w:tcW w:w="8821" w:type="dxa"/>
          </w:tcPr>
          <w:p w14:paraId="406DF627" w14:textId="77777777" w:rsidR="005F0D40" w:rsidRDefault="005F0D40" w:rsidP="009F576F">
            <w:pPr>
              <w:pStyle w:val="BodyText1"/>
              <w:cnfStyle w:val="000000100000" w:firstRow="0" w:lastRow="0" w:firstColumn="0" w:lastColumn="0" w:oddVBand="0" w:evenVBand="0" w:oddHBand="1" w:evenHBand="0" w:firstRowFirstColumn="0" w:firstRowLastColumn="0" w:lastRowFirstColumn="0" w:lastRowLastColumn="0"/>
            </w:pPr>
            <w:r>
              <w:t xml:space="preserve">For </w:t>
            </w:r>
            <w:r w:rsidRPr="003E7FD5">
              <w:t>Franchised</w:t>
            </w:r>
            <w:r>
              <w:t xml:space="preserve">, Validated and </w:t>
            </w:r>
            <w:r w:rsidRPr="003E7FD5">
              <w:t>Desig</w:t>
            </w:r>
            <w:r>
              <w:t>n</w:t>
            </w:r>
            <w:r w:rsidRPr="003E7FD5">
              <w:t>ed and Delivered</w:t>
            </w:r>
            <w:r>
              <w:t xml:space="preserve"> provision, the PI appoints an Academic Misconduct Officer (AMO) who informs the DALO of investigation </w:t>
            </w:r>
            <w:proofErr w:type="gramStart"/>
            <w:r>
              <w:t>outcomes</w:t>
            </w:r>
            <w:proofErr w:type="gramEnd"/>
          </w:p>
          <w:p w14:paraId="55890285" w14:textId="77777777" w:rsidR="005F0D40" w:rsidRDefault="005F0D40" w:rsidP="009F576F">
            <w:pPr>
              <w:pStyle w:val="BodyText1"/>
              <w:cnfStyle w:val="000000100000" w:firstRow="0" w:lastRow="0" w:firstColumn="0" w:lastColumn="0" w:oddVBand="0" w:evenVBand="0" w:oddHBand="1" w:evenHBand="0" w:firstRowFirstColumn="0" w:firstRowLastColumn="0" w:lastRowFirstColumn="0" w:lastRowLastColumn="0"/>
            </w:pPr>
            <w:r>
              <w:t xml:space="preserve">For </w:t>
            </w:r>
            <w:r w:rsidRPr="003E7FD5">
              <w:t>ODUPLUS</w:t>
            </w:r>
            <w:r>
              <w:t xml:space="preserve"> provision the PI and school agree the appointment of an AMO as part of the (re)validation process. This could either be a member of the PI, a member of University of Huddersfield staff who visits the PI regularly or the DALO</w:t>
            </w:r>
          </w:p>
        </w:tc>
      </w:tr>
      <w:tr w:rsidR="005F0D40" w14:paraId="22D3BFEA" w14:textId="77777777" w:rsidTr="009F576F">
        <w:tc>
          <w:tcPr>
            <w:cnfStyle w:val="001000000000" w:firstRow="0" w:lastRow="0" w:firstColumn="1" w:lastColumn="0" w:oddVBand="0" w:evenVBand="0" w:oddHBand="0" w:evenHBand="0" w:firstRowFirstColumn="0" w:firstRowLastColumn="0" w:lastRowFirstColumn="0" w:lastRowLastColumn="0"/>
            <w:tcW w:w="807" w:type="dxa"/>
          </w:tcPr>
          <w:p w14:paraId="213F2421" w14:textId="77777777" w:rsidR="005F0D40" w:rsidRDefault="005F0D40" w:rsidP="009F576F">
            <w:pPr>
              <w:pStyle w:val="BodyText1"/>
            </w:pPr>
            <w:r>
              <w:t>2</w:t>
            </w:r>
          </w:p>
        </w:tc>
        <w:tc>
          <w:tcPr>
            <w:tcW w:w="8821" w:type="dxa"/>
          </w:tcPr>
          <w:p w14:paraId="0E59B725" w14:textId="77777777" w:rsidR="005F0D40" w:rsidRDefault="005F0D40" w:rsidP="009F576F">
            <w:pPr>
              <w:pStyle w:val="BodyText1"/>
              <w:cnfStyle w:val="000000000000" w:firstRow="0" w:lastRow="0" w:firstColumn="0" w:lastColumn="0" w:oddVBand="0" w:evenVBand="0" w:oddHBand="0" w:evenHBand="0" w:firstRowFirstColumn="0" w:firstRowLastColumn="0" w:lastRowFirstColumn="0" w:lastRowLastColumn="0"/>
            </w:pPr>
            <w:r>
              <w:t>The PI must confirm the name of the AMO to the School’s AMO. Note that penalties cannot be applied by a PI AMO; they must be confirmed by the School’s AMO</w:t>
            </w:r>
          </w:p>
        </w:tc>
      </w:tr>
      <w:tr w:rsidR="005F0D40" w14:paraId="3619856A"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tcPr>
          <w:p w14:paraId="307633B3" w14:textId="77777777" w:rsidR="005F0D40" w:rsidRDefault="005F0D40" w:rsidP="009F576F">
            <w:pPr>
              <w:pStyle w:val="BodyText1"/>
            </w:pPr>
            <w:r>
              <w:t>3</w:t>
            </w:r>
          </w:p>
        </w:tc>
        <w:tc>
          <w:tcPr>
            <w:tcW w:w="8821" w:type="dxa"/>
          </w:tcPr>
          <w:p w14:paraId="41AA1CA4" w14:textId="77777777" w:rsidR="005F0D40" w:rsidRDefault="005F0D40" w:rsidP="009F576F">
            <w:pPr>
              <w:pStyle w:val="BodyText1"/>
              <w:cnfStyle w:val="000000100000" w:firstRow="0" w:lastRow="0" w:firstColumn="0" w:lastColumn="0" w:oddVBand="0" w:evenVBand="0" w:oddHBand="1" w:evenHBand="0" w:firstRowFirstColumn="0" w:firstRowLastColumn="0" w:lastRowFirstColumn="0" w:lastRowLastColumn="0"/>
            </w:pPr>
            <w:r>
              <w:t>For Franchised, Validated and Designed and Delivered provision, the PI should conduct the informal stage 1 investigation and the University will conduct Stages 2 and 3 (see workflow below)</w:t>
            </w:r>
          </w:p>
        </w:tc>
      </w:tr>
      <w:tr w:rsidR="005F0D40" w14:paraId="6B222C8D" w14:textId="77777777" w:rsidTr="009F576F">
        <w:tc>
          <w:tcPr>
            <w:cnfStyle w:val="001000000000" w:firstRow="0" w:lastRow="0" w:firstColumn="1" w:lastColumn="0" w:oddVBand="0" w:evenVBand="0" w:oddHBand="0" w:evenHBand="0" w:firstRowFirstColumn="0" w:firstRowLastColumn="0" w:lastRowFirstColumn="0" w:lastRowLastColumn="0"/>
            <w:tcW w:w="807" w:type="dxa"/>
          </w:tcPr>
          <w:p w14:paraId="0C1FF214" w14:textId="77777777" w:rsidR="005F0D40" w:rsidRDefault="005F0D40" w:rsidP="009F576F">
            <w:pPr>
              <w:pStyle w:val="BodyText1"/>
            </w:pPr>
            <w:r>
              <w:t>4</w:t>
            </w:r>
          </w:p>
        </w:tc>
        <w:tc>
          <w:tcPr>
            <w:tcW w:w="8821" w:type="dxa"/>
          </w:tcPr>
          <w:p w14:paraId="40969014" w14:textId="77777777" w:rsidR="005F0D40" w:rsidRDefault="005F0D40" w:rsidP="009F576F">
            <w:pPr>
              <w:pStyle w:val="BodyText1"/>
              <w:cnfStyle w:val="000000000000" w:firstRow="0" w:lastRow="0" w:firstColumn="0" w:lastColumn="0" w:oddVBand="0" w:evenVBand="0" w:oddHBand="0" w:evenHBand="0" w:firstRowFirstColumn="0" w:firstRowLastColumn="0" w:lastRowFirstColumn="0" w:lastRowLastColumn="0"/>
            </w:pPr>
            <w:r>
              <w:t xml:space="preserve">DALOs support PIs with AM issues, are the first point of contact and should be regularly updated by PIs in all AM cases (refer to </w:t>
            </w:r>
            <w:hyperlink r:id="rId10" w:history="1">
              <w:r w:rsidRPr="00BE4D17">
                <w:rPr>
                  <w:rStyle w:val="Hyperlink"/>
                </w:rPr>
                <w:t>section 10 of the Regulations for Taught Students</w:t>
              </w:r>
            </w:hyperlink>
            <w:r>
              <w:t xml:space="preserve"> for further information)</w:t>
            </w:r>
          </w:p>
        </w:tc>
      </w:tr>
      <w:tr w:rsidR="005F0D40" w14:paraId="5AEC8A74"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tcPr>
          <w:p w14:paraId="1913FC89" w14:textId="77777777" w:rsidR="005F0D40" w:rsidRDefault="005F0D40" w:rsidP="009F576F">
            <w:pPr>
              <w:pStyle w:val="BodyText1"/>
            </w:pPr>
            <w:r>
              <w:t>5</w:t>
            </w:r>
          </w:p>
        </w:tc>
        <w:tc>
          <w:tcPr>
            <w:tcW w:w="8821" w:type="dxa"/>
          </w:tcPr>
          <w:p w14:paraId="2ECBC90C" w14:textId="77777777" w:rsidR="005F0D40" w:rsidRDefault="005F0D40" w:rsidP="009F576F">
            <w:pPr>
              <w:pStyle w:val="BodyText1"/>
              <w:cnfStyle w:val="000000100000" w:firstRow="0" w:lastRow="0" w:firstColumn="0" w:lastColumn="0" w:oddVBand="0" w:evenVBand="0" w:oddHBand="1" w:evenHBand="0" w:firstRowFirstColumn="0" w:firstRowLastColumn="0" w:lastRowFirstColumn="0" w:lastRowLastColumn="0"/>
            </w:pPr>
            <w:r>
              <w:t>The University sends all formal emails relating to AM allegations rather than the PI. This includes interview invitations and outcomes.</w:t>
            </w:r>
          </w:p>
        </w:tc>
      </w:tr>
      <w:tr w:rsidR="005F0D40" w14:paraId="605082FC" w14:textId="77777777" w:rsidTr="009F576F">
        <w:tc>
          <w:tcPr>
            <w:cnfStyle w:val="001000000000" w:firstRow="0" w:lastRow="0" w:firstColumn="1" w:lastColumn="0" w:oddVBand="0" w:evenVBand="0" w:oddHBand="0" w:evenHBand="0" w:firstRowFirstColumn="0" w:firstRowLastColumn="0" w:lastRowFirstColumn="0" w:lastRowLastColumn="0"/>
            <w:tcW w:w="807" w:type="dxa"/>
          </w:tcPr>
          <w:p w14:paraId="3F886DB7" w14:textId="77777777" w:rsidR="005F0D40" w:rsidRDefault="005F0D40" w:rsidP="009F576F">
            <w:pPr>
              <w:pStyle w:val="BodyText1"/>
            </w:pPr>
            <w:r>
              <w:t>6</w:t>
            </w:r>
          </w:p>
        </w:tc>
        <w:tc>
          <w:tcPr>
            <w:tcW w:w="8821" w:type="dxa"/>
          </w:tcPr>
          <w:p w14:paraId="6FE5DCB2" w14:textId="77777777" w:rsidR="005F0D40" w:rsidRDefault="005F0D40" w:rsidP="009F576F">
            <w:pPr>
              <w:pStyle w:val="BodyText1"/>
              <w:cnfStyle w:val="000000000000" w:firstRow="0" w:lastRow="0" w:firstColumn="0" w:lastColumn="0" w:oddVBand="0" w:evenVBand="0" w:oddHBand="0" w:evenHBand="0" w:firstRowFirstColumn="0" w:firstRowLastColumn="0" w:lastRowFirstColumn="0" w:lastRowLastColumn="0"/>
            </w:pPr>
            <w:r>
              <w:t>A stage 3 case of AM at a PI will mean an Academic Misconduct Panel will be held at the University and the student should attend to present their case. If it is unrealistic for the student to attend, a virtual AMP will be held.</w:t>
            </w:r>
          </w:p>
        </w:tc>
      </w:tr>
    </w:tbl>
    <w:p w14:paraId="0BBDF429" w14:textId="2EF05B3A" w:rsidR="005F0D40" w:rsidRPr="00762614" w:rsidRDefault="005F0D40" w:rsidP="005F0D40">
      <w:pPr>
        <w:pStyle w:val="BodyText1"/>
      </w:pPr>
      <w:r>
        <w:t xml:space="preserve">See the Academic Misconduct flowchart </w:t>
      </w:r>
      <w:r w:rsidR="00F46766">
        <w:t xml:space="preserve">(page </w:t>
      </w:r>
      <w:r w:rsidR="003E0175">
        <w:t>4</w:t>
      </w:r>
      <w:r w:rsidR="00F46766">
        <w:t xml:space="preserve">) </w:t>
      </w:r>
      <w:r>
        <w:t>for further information about the CP process</w:t>
      </w:r>
      <w:r w:rsidRPr="00762614">
        <w:t>.</w:t>
      </w:r>
    </w:p>
    <w:p w14:paraId="39A80604" w14:textId="1E7096D9" w:rsidR="002320E2" w:rsidRDefault="002320E2">
      <w:r>
        <w:br w:type="page"/>
      </w:r>
    </w:p>
    <w:p w14:paraId="6057BBC7" w14:textId="4C29E3F9" w:rsidR="002320E2" w:rsidRPr="007D33C3" w:rsidRDefault="002320E2" w:rsidP="007D33C3">
      <w:pPr>
        <w:pStyle w:val="BodyText1"/>
        <w:jc w:val="center"/>
        <w:rPr>
          <w:b/>
          <w:bCs/>
        </w:rPr>
      </w:pPr>
      <w:bookmarkStart w:id="3" w:name="_Toc131499498"/>
      <w:r w:rsidRPr="007D33C3">
        <w:rPr>
          <w:b/>
          <w:bCs/>
        </w:rPr>
        <w:lastRenderedPageBreak/>
        <w:t>Academic Misconduct Workflow</w:t>
      </w:r>
      <w:bookmarkEnd w:id="3"/>
    </w:p>
    <w:p w14:paraId="6CA309A3" w14:textId="448F2AA4" w:rsidR="002320E2" w:rsidRDefault="002320E2">
      <w:r>
        <w:object w:dxaOrig="11551" w:dyaOrig="6961" w14:anchorId="10E50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94pt" o:ole="">
            <v:imagedata r:id="rId11" o:title=""/>
          </v:shape>
          <o:OLEObject Type="Embed" ProgID="Visio.Drawing.15" ShapeID="_x0000_i1025" DrawAspect="Content" ObjectID="_1750661152" r:id="rId12"/>
        </w:object>
      </w:r>
    </w:p>
    <w:p w14:paraId="4363A00F" w14:textId="77777777" w:rsidR="002320E2" w:rsidRDefault="002320E2">
      <w:r>
        <w:br w:type="page"/>
      </w:r>
    </w:p>
    <w:p w14:paraId="03FC63E7" w14:textId="77777777" w:rsidR="002320E2" w:rsidRPr="00871E23" w:rsidRDefault="002320E2" w:rsidP="002320E2">
      <w:pPr>
        <w:pStyle w:val="HeadingC"/>
      </w:pPr>
      <w:bookmarkStart w:id="4" w:name="_Toc131499499"/>
      <w:bookmarkStart w:id="5" w:name="_Toc131499789"/>
      <w:bookmarkStart w:id="6" w:name="_Toc471747058"/>
      <w:r>
        <w:lastRenderedPageBreak/>
        <w:t xml:space="preserve">CP </w:t>
      </w:r>
      <w:r w:rsidRPr="00871E23">
        <w:t>Student Complaints</w:t>
      </w:r>
      <w:bookmarkEnd w:id="4"/>
      <w:bookmarkEnd w:id="5"/>
      <w:r w:rsidRPr="00871E23">
        <w:t xml:space="preserve"> </w:t>
      </w:r>
      <w:bookmarkEnd w:id="6"/>
    </w:p>
    <w:p w14:paraId="04914939" w14:textId="68192C5A" w:rsidR="002320E2" w:rsidRPr="009467CD" w:rsidRDefault="002320E2" w:rsidP="002320E2">
      <w:pPr>
        <w:pStyle w:val="BodyText1"/>
      </w:pPr>
      <w:r>
        <w:t>S</w:t>
      </w:r>
      <w:r w:rsidRPr="009467CD">
        <w:t xml:space="preserve">tudent complaints </w:t>
      </w:r>
      <w:r>
        <w:t xml:space="preserve">at PIs usually follow the University of Huddersfield’s Regulations and Procedures outlined in </w:t>
      </w:r>
      <w:hyperlink r:id="rId13" w:history="1">
        <w:r w:rsidRPr="00820EB5">
          <w:rPr>
            <w:rStyle w:val="Hyperlink"/>
          </w:rPr>
          <w:t>Section 13 of the Regulations for Taught Students</w:t>
        </w:r>
      </w:hyperlink>
      <w:r w:rsidRPr="009467CD">
        <w:t xml:space="preserve">. </w:t>
      </w:r>
      <w:r>
        <w:t xml:space="preserve">However, this may depend on the subject matter of the complaint. </w:t>
      </w:r>
      <w:r w:rsidR="004D4A76">
        <w:t>For example, i</w:t>
      </w:r>
      <w:r>
        <w:t>t may be advisable for the University to deal with all stages of complaints relating to academic matters and for the PI to deal with matters relating to the environment. The DALO must make sure that the PI issues students with the Regulations for Taught Students during their induction and that all staff and students are aware how the Complaints procedure works.</w:t>
      </w:r>
    </w:p>
    <w:tbl>
      <w:tblPr>
        <w:tblStyle w:val="ListTable3-Accent5"/>
        <w:tblW w:w="0" w:type="auto"/>
        <w:tblLook w:val="04A0" w:firstRow="1" w:lastRow="0" w:firstColumn="1" w:lastColumn="0" w:noHBand="0" w:noVBand="1"/>
        <w:tblCaption w:val="Student complaints"/>
        <w:tblDescription w:val="Actions for the student complaints procedure"/>
      </w:tblPr>
      <w:tblGrid>
        <w:gridCol w:w="737"/>
        <w:gridCol w:w="8279"/>
      </w:tblGrid>
      <w:tr w:rsidR="002320E2" w14:paraId="7918FFCD" w14:textId="77777777" w:rsidTr="009F576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7" w:type="dxa"/>
          </w:tcPr>
          <w:p w14:paraId="54B2BAF1" w14:textId="77777777" w:rsidR="002320E2" w:rsidRPr="00A674E0" w:rsidRDefault="002320E2" w:rsidP="009F576F">
            <w:pPr>
              <w:pStyle w:val="BodyText1"/>
            </w:pPr>
            <w:r w:rsidRPr="00A674E0">
              <w:t>Step</w:t>
            </w:r>
          </w:p>
        </w:tc>
        <w:tc>
          <w:tcPr>
            <w:tcW w:w="8891" w:type="dxa"/>
          </w:tcPr>
          <w:p w14:paraId="67BA81F8" w14:textId="77777777" w:rsidR="002320E2" w:rsidRPr="00A674E0" w:rsidRDefault="002320E2" w:rsidP="009F576F">
            <w:pPr>
              <w:pStyle w:val="BodyText1"/>
              <w:cnfStyle w:val="100000000000" w:firstRow="1" w:lastRow="0" w:firstColumn="0" w:lastColumn="0" w:oddVBand="0" w:evenVBand="0" w:oddHBand="0" w:evenHBand="0" w:firstRowFirstColumn="0" w:firstRowLastColumn="0" w:lastRowFirstColumn="0" w:lastRowLastColumn="0"/>
            </w:pPr>
            <w:r w:rsidRPr="00A674E0">
              <w:t>Action</w:t>
            </w:r>
          </w:p>
        </w:tc>
      </w:tr>
      <w:tr w:rsidR="002320E2" w14:paraId="0B382B8E"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tcPr>
          <w:p w14:paraId="4F1A4D37" w14:textId="77777777" w:rsidR="002320E2" w:rsidRPr="00A674E0" w:rsidRDefault="002320E2" w:rsidP="009F576F">
            <w:pPr>
              <w:pStyle w:val="BodyText1"/>
            </w:pPr>
            <w:r w:rsidRPr="00A674E0">
              <w:t>1</w:t>
            </w:r>
          </w:p>
        </w:tc>
        <w:tc>
          <w:tcPr>
            <w:tcW w:w="8891" w:type="dxa"/>
          </w:tcPr>
          <w:p w14:paraId="3F1106A1" w14:textId="77777777" w:rsidR="002320E2" w:rsidRDefault="002320E2" w:rsidP="009F576F">
            <w:pPr>
              <w:pStyle w:val="BodyText1"/>
              <w:cnfStyle w:val="000000100000" w:firstRow="0" w:lastRow="0" w:firstColumn="0" w:lastColumn="0" w:oddVBand="0" w:evenVBand="0" w:oddHBand="1" w:evenHBand="0" w:firstRowFirstColumn="0" w:firstRowLastColumn="0" w:lastRowFirstColumn="0" w:lastRowLastColumn="0"/>
            </w:pPr>
            <w:r>
              <w:t>When a student raises a complaint at a PI, the PI usually follows the Stage 1 (informal) complaints process, alerting the DALO to the complaint. The student should be advised to contact the University of Huddersfield’s Student Union Advice centre at all stages.</w:t>
            </w:r>
          </w:p>
        </w:tc>
      </w:tr>
      <w:tr w:rsidR="002320E2" w14:paraId="28D51DF6" w14:textId="77777777" w:rsidTr="009F576F">
        <w:tc>
          <w:tcPr>
            <w:cnfStyle w:val="001000000000" w:firstRow="0" w:lastRow="0" w:firstColumn="1" w:lastColumn="0" w:oddVBand="0" w:evenVBand="0" w:oddHBand="0" w:evenHBand="0" w:firstRowFirstColumn="0" w:firstRowLastColumn="0" w:lastRowFirstColumn="0" w:lastRowLastColumn="0"/>
            <w:tcW w:w="737" w:type="dxa"/>
          </w:tcPr>
          <w:p w14:paraId="04EB8AA1" w14:textId="77777777" w:rsidR="002320E2" w:rsidRPr="00A674E0" w:rsidRDefault="002320E2" w:rsidP="009F576F">
            <w:pPr>
              <w:pStyle w:val="BodyText1"/>
            </w:pPr>
            <w:r w:rsidRPr="00A674E0">
              <w:t>2</w:t>
            </w:r>
          </w:p>
        </w:tc>
        <w:tc>
          <w:tcPr>
            <w:tcW w:w="8891" w:type="dxa"/>
          </w:tcPr>
          <w:p w14:paraId="5B320420" w14:textId="0B3BF64F" w:rsidR="002320E2" w:rsidRDefault="002320E2" w:rsidP="009F576F">
            <w:pPr>
              <w:pStyle w:val="BodyText1"/>
              <w:cnfStyle w:val="000000000000" w:firstRow="0" w:lastRow="0" w:firstColumn="0" w:lastColumn="0" w:oddVBand="0" w:evenVBand="0" w:oddHBand="0" w:evenHBand="0" w:firstRowFirstColumn="0" w:firstRowLastColumn="0" w:lastRowFirstColumn="0" w:lastRowLastColumn="0"/>
            </w:pPr>
            <w:r>
              <w:t>If the PI does not resolve the issue, they should inform the DALO, sending all relevant paperwork.</w:t>
            </w:r>
          </w:p>
        </w:tc>
      </w:tr>
      <w:tr w:rsidR="002320E2" w14:paraId="75337F16"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tcPr>
          <w:p w14:paraId="12EB3425" w14:textId="77777777" w:rsidR="002320E2" w:rsidRPr="00A674E0" w:rsidRDefault="002320E2" w:rsidP="009F576F">
            <w:pPr>
              <w:pStyle w:val="BodyText1"/>
            </w:pPr>
            <w:r w:rsidRPr="00A674E0">
              <w:t>3</w:t>
            </w:r>
          </w:p>
        </w:tc>
        <w:tc>
          <w:tcPr>
            <w:tcW w:w="8891" w:type="dxa"/>
          </w:tcPr>
          <w:p w14:paraId="643C37BF" w14:textId="77777777" w:rsidR="002320E2" w:rsidRDefault="002320E2" w:rsidP="009F576F">
            <w:pPr>
              <w:pStyle w:val="BodyText1"/>
              <w:cnfStyle w:val="000000100000" w:firstRow="0" w:lastRow="0" w:firstColumn="0" w:lastColumn="0" w:oddVBand="0" w:evenVBand="0" w:oddHBand="1" w:evenHBand="0" w:firstRowFirstColumn="0" w:firstRowLastColumn="0" w:lastRowFirstColumn="0" w:lastRowLastColumn="0"/>
            </w:pPr>
            <w:r>
              <w:t xml:space="preserve">The DALO will refer the stage 2 complaint to Registry who will complete the formal stages (stages 2 and 3). </w:t>
            </w:r>
          </w:p>
        </w:tc>
      </w:tr>
      <w:tr w:rsidR="002320E2" w14:paraId="35061E01" w14:textId="77777777" w:rsidTr="009F576F">
        <w:tc>
          <w:tcPr>
            <w:cnfStyle w:val="001000000000" w:firstRow="0" w:lastRow="0" w:firstColumn="1" w:lastColumn="0" w:oddVBand="0" w:evenVBand="0" w:oddHBand="0" w:evenHBand="0" w:firstRowFirstColumn="0" w:firstRowLastColumn="0" w:lastRowFirstColumn="0" w:lastRowLastColumn="0"/>
            <w:tcW w:w="737" w:type="dxa"/>
          </w:tcPr>
          <w:p w14:paraId="539F73FD" w14:textId="77777777" w:rsidR="002320E2" w:rsidRPr="00A674E0" w:rsidRDefault="002320E2" w:rsidP="009F576F">
            <w:pPr>
              <w:pStyle w:val="BodyText1"/>
            </w:pPr>
            <w:r w:rsidRPr="00A674E0">
              <w:t>4</w:t>
            </w:r>
          </w:p>
        </w:tc>
        <w:tc>
          <w:tcPr>
            <w:tcW w:w="8891" w:type="dxa"/>
          </w:tcPr>
          <w:p w14:paraId="27319AA3" w14:textId="77777777" w:rsidR="002320E2" w:rsidRDefault="002320E2" w:rsidP="009F576F">
            <w:pPr>
              <w:pStyle w:val="BodyText1"/>
              <w:cnfStyle w:val="000000000000" w:firstRow="0" w:lastRow="0" w:firstColumn="0" w:lastColumn="0" w:oddVBand="0" w:evenVBand="0" w:oddHBand="0" w:evenHBand="0" w:firstRowFirstColumn="0" w:firstRowLastColumn="0" w:lastRowFirstColumn="0" w:lastRowLastColumn="0"/>
            </w:pPr>
            <w:r>
              <w:t>If the issue is not resolved at stage 2, then the University follows the stage 3 internal review process.</w:t>
            </w:r>
          </w:p>
        </w:tc>
      </w:tr>
      <w:tr w:rsidR="002320E2" w14:paraId="43CC2FAD"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tcPr>
          <w:p w14:paraId="46B9EE72" w14:textId="77777777" w:rsidR="002320E2" w:rsidRPr="00A674E0" w:rsidRDefault="002320E2" w:rsidP="009F576F">
            <w:pPr>
              <w:pStyle w:val="BodyText1"/>
            </w:pPr>
            <w:r w:rsidRPr="00A674E0">
              <w:t>5</w:t>
            </w:r>
          </w:p>
        </w:tc>
        <w:tc>
          <w:tcPr>
            <w:tcW w:w="8891" w:type="dxa"/>
          </w:tcPr>
          <w:p w14:paraId="65FD5C56" w14:textId="77777777" w:rsidR="002320E2" w:rsidRDefault="002320E2" w:rsidP="009F576F">
            <w:pPr>
              <w:pStyle w:val="BodyText1"/>
              <w:cnfStyle w:val="000000100000" w:firstRow="0" w:lastRow="0" w:firstColumn="0" w:lastColumn="0" w:oddVBand="0" w:evenVBand="0" w:oddHBand="1" w:evenHBand="0" w:firstRowFirstColumn="0" w:firstRowLastColumn="0" w:lastRowFirstColumn="0" w:lastRowLastColumn="0"/>
            </w:pPr>
            <w:r>
              <w:t>The COP letter is then issued advising the student to contact the OIA for an independent review if they are still unhappy with the outcome.</w:t>
            </w:r>
          </w:p>
        </w:tc>
      </w:tr>
    </w:tbl>
    <w:p w14:paraId="04EAF394" w14:textId="583E408C" w:rsidR="00975848" w:rsidRDefault="007D33C3" w:rsidP="007D33C3">
      <w:pPr>
        <w:pStyle w:val="BodyText1"/>
      </w:pPr>
      <w:r>
        <w:t xml:space="preserve">See the complaints workflow (page </w:t>
      </w:r>
      <w:r w:rsidR="003E0175">
        <w:t>6</w:t>
      </w:r>
      <w:r>
        <w:t>) for further information.</w:t>
      </w:r>
    </w:p>
    <w:p w14:paraId="57A38958" w14:textId="77777777" w:rsidR="00975848" w:rsidRDefault="00975848">
      <w:r>
        <w:br w:type="page"/>
      </w:r>
    </w:p>
    <w:p w14:paraId="52ED0282" w14:textId="3D310C89" w:rsidR="005F0D40" w:rsidRPr="007D33C3" w:rsidRDefault="007B1BB4" w:rsidP="007D33C3">
      <w:pPr>
        <w:pStyle w:val="BodyText1"/>
        <w:jc w:val="center"/>
        <w:rPr>
          <w:b/>
          <w:bCs/>
        </w:rPr>
      </w:pPr>
      <w:bookmarkStart w:id="7" w:name="_Toc131499500"/>
      <w:r w:rsidRPr="007D33C3">
        <w:rPr>
          <w:b/>
          <w:bCs/>
        </w:rPr>
        <w:lastRenderedPageBreak/>
        <w:t>Complaints workflow</w:t>
      </w:r>
      <w:bookmarkEnd w:id="7"/>
    </w:p>
    <w:p w14:paraId="394B4B16" w14:textId="25E0EB96" w:rsidR="002320E2" w:rsidRDefault="002320E2">
      <w:r>
        <w:object w:dxaOrig="9436" w:dyaOrig="9361" w14:anchorId="67CE543C">
          <v:shape id="_x0000_i1026" type="#_x0000_t75" style="width:495pt;height:492pt" o:ole="">
            <v:imagedata r:id="rId14" o:title=""/>
          </v:shape>
          <o:OLEObject Type="Embed" ProgID="Visio.Drawing.15" ShapeID="_x0000_i1026" DrawAspect="Content" ObjectID="_1750661153" r:id="rId15"/>
        </w:object>
      </w:r>
    </w:p>
    <w:p w14:paraId="40BA8F84" w14:textId="77777777" w:rsidR="002320E2" w:rsidRDefault="002320E2">
      <w:r>
        <w:br w:type="page"/>
      </w:r>
    </w:p>
    <w:p w14:paraId="32CC5FE4" w14:textId="77777777" w:rsidR="002320E2" w:rsidRPr="005D6AF8" w:rsidRDefault="002320E2" w:rsidP="002320E2">
      <w:pPr>
        <w:pStyle w:val="HeadingC"/>
      </w:pPr>
      <w:bookmarkStart w:id="8" w:name="_Toc131499501"/>
      <w:bookmarkStart w:id="9" w:name="_Toc131499790"/>
      <w:r>
        <w:lastRenderedPageBreak/>
        <w:t>CP Results A</w:t>
      </w:r>
      <w:r w:rsidRPr="00C81BEB">
        <w:t>ppeals</w:t>
      </w:r>
      <w:bookmarkEnd w:id="8"/>
      <w:bookmarkEnd w:id="9"/>
      <w:r w:rsidRPr="00C81BEB">
        <w:t xml:space="preserve"> </w:t>
      </w:r>
    </w:p>
    <w:p w14:paraId="65878E42" w14:textId="77777777" w:rsidR="002320E2" w:rsidRDefault="002320E2" w:rsidP="002320E2">
      <w:pPr>
        <w:pStyle w:val="BodyText1"/>
      </w:pPr>
      <w:r>
        <w:t>S</w:t>
      </w:r>
      <w:r w:rsidRPr="009467CD">
        <w:t xml:space="preserve">tudent </w:t>
      </w:r>
      <w:r>
        <w:t>results appeals</w:t>
      </w:r>
      <w:r w:rsidRPr="009467CD">
        <w:t xml:space="preserve"> </w:t>
      </w:r>
      <w:r>
        <w:t xml:space="preserve">at PIs follow the University of Huddersfield’s Regulations and Procedures outlined in </w:t>
      </w:r>
      <w:hyperlink r:id="rId16" w:history="1">
        <w:r w:rsidRPr="00B815EE">
          <w:rPr>
            <w:rStyle w:val="Hyperlink"/>
          </w:rPr>
          <w:t>section 9 of the Regulations for Taught Students</w:t>
        </w:r>
      </w:hyperlink>
      <w:r>
        <w:t xml:space="preserve"> </w:t>
      </w:r>
      <w:r w:rsidRPr="009467CD">
        <w:t xml:space="preserve">. </w:t>
      </w:r>
      <w:r>
        <w:t>The DALO must make sure that the PI issues students with the Regulations for Taught Students during their induction and that all staff and students are aware how the Appeals procedure works. The process is as follows:</w:t>
      </w:r>
    </w:p>
    <w:tbl>
      <w:tblPr>
        <w:tblStyle w:val="ListTable3-Accent5"/>
        <w:tblW w:w="0" w:type="auto"/>
        <w:tblLook w:val="04A0" w:firstRow="1" w:lastRow="0" w:firstColumn="1" w:lastColumn="0" w:noHBand="0" w:noVBand="1"/>
        <w:tblCaption w:val="Results Appeals"/>
        <w:tblDescription w:val="Actions to show the results appeal process"/>
      </w:tblPr>
      <w:tblGrid>
        <w:gridCol w:w="835"/>
        <w:gridCol w:w="8181"/>
      </w:tblGrid>
      <w:tr w:rsidR="002320E2" w14:paraId="2BFD0BC9" w14:textId="77777777" w:rsidTr="009F576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6" w:type="dxa"/>
          </w:tcPr>
          <w:p w14:paraId="1C69716A" w14:textId="77777777" w:rsidR="002320E2" w:rsidRPr="005D6AF8" w:rsidRDefault="002320E2" w:rsidP="009F576F">
            <w:pPr>
              <w:pStyle w:val="BodyText1"/>
            </w:pPr>
            <w:r w:rsidRPr="005D6AF8">
              <w:t>Step</w:t>
            </w:r>
          </w:p>
        </w:tc>
        <w:tc>
          <w:tcPr>
            <w:tcW w:w="8782" w:type="dxa"/>
          </w:tcPr>
          <w:p w14:paraId="1430B784" w14:textId="77777777" w:rsidR="002320E2" w:rsidRPr="005D6AF8" w:rsidRDefault="002320E2" w:rsidP="009F576F">
            <w:pPr>
              <w:pStyle w:val="BodyText1"/>
              <w:cnfStyle w:val="100000000000" w:firstRow="1" w:lastRow="0" w:firstColumn="0" w:lastColumn="0" w:oddVBand="0" w:evenVBand="0" w:oddHBand="0" w:evenHBand="0" w:firstRowFirstColumn="0" w:firstRowLastColumn="0" w:lastRowFirstColumn="0" w:lastRowLastColumn="0"/>
            </w:pPr>
            <w:r w:rsidRPr="005D6AF8">
              <w:t>Action</w:t>
            </w:r>
          </w:p>
        </w:tc>
      </w:tr>
      <w:tr w:rsidR="002320E2" w14:paraId="4343458A"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5B9E6C7" w14:textId="77777777" w:rsidR="002320E2" w:rsidRPr="005D6AF8" w:rsidRDefault="002320E2" w:rsidP="009F576F">
            <w:pPr>
              <w:pStyle w:val="BodyText1"/>
            </w:pPr>
            <w:r w:rsidRPr="005D6AF8">
              <w:t>1</w:t>
            </w:r>
          </w:p>
        </w:tc>
        <w:tc>
          <w:tcPr>
            <w:tcW w:w="8782" w:type="dxa"/>
          </w:tcPr>
          <w:p w14:paraId="67D72214" w14:textId="77777777" w:rsidR="002320E2" w:rsidRDefault="002320E2" w:rsidP="009F576F">
            <w:pPr>
              <w:pStyle w:val="BodyText1"/>
              <w:cnfStyle w:val="000000100000" w:firstRow="0" w:lastRow="0" w:firstColumn="0" w:lastColumn="0" w:oddVBand="0" w:evenVBand="0" w:oddHBand="1" w:evenHBand="0" w:firstRowFirstColumn="0" w:firstRowLastColumn="0" w:lastRowFirstColumn="0" w:lastRowLastColumn="0"/>
            </w:pPr>
            <w:r>
              <w:t>Student at PI wishes to appeal a result (must be within 10 working days of receiving results).</w:t>
            </w:r>
          </w:p>
        </w:tc>
      </w:tr>
      <w:tr w:rsidR="002320E2" w14:paraId="35006502" w14:textId="77777777" w:rsidTr="009F576F">
        <w:tc>
          <w:tcPr>
            <w:cnfStyle w:val="001000000000" w:firstRow="0" w:lastRow="0" w:firstColumn="1" w:lastColumn="0" w:oddVBand="0" w:evenVBand="0" w:oddHBand="0" w:evenHBand="0" w:firstRowFirstColumn="0" w:firstRowLastColumn="0" w:lastRowFirstColumn="0" w:lastRowLastColumn="0"/>
            <w:tcW w:w="846" w:type="dxa"/>
          </w:tcPr>
          <w:p w14:paraId="06CF84AC" w14:textId="77777777" w:rsidR="002320E2" w:rsidRPr="005D6AF8" w:rsidRDefault="002320E2" w:rsidP="009F576F">
            <w:pPr>
              <w:pStyle w:val="BodyText1"/>
            </w:pPr>
            <w:r w:rsidRPr="005D6AF8">
              <w:t>2</w:t>
            </w:r>
          </w:p>
        </w:tc>
        <w:tc>
          <w:tcPr>
            <w:tcW w:w="8782" w:type="dxa"/>
          </w:tcPr>
          <w:p w14:paraId="62215D2D" w14:textId="77777777" w:rsidR="002320E2" w:rsidRDefault="002320E2" w:rsidP="009F576F">
            <w:pPr>
              <w:pStyle w:val="BodyText1"/>
              <w:cnfStyle w:val="000000000000" w:firstRow="0" w:lastRow="0" w:firstColumn="0" w:lastColumn="0" w:oddVBand="0" w:evenVBand="0" w:oddHBand="0" w:evenHBand="0" w:firstRowFirstColumn="0" w:firstRowLastColumn="0" w:lastRowFirstColumn="0" w:lastRowLastColumn="0"/>
            </w:pPr>
            <w:r>
              <w:t>The PI and DALO direct the student to the University of Huddersfield’s Students’ Union Advice centre for further details and advice.</w:t>
            </w:r>
          </w:p>
        </w:tc>
      </w:tr>
      <w:tr w:rsidR="002320E2" w14:paraId="2DE09BE1"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B2FD983" w14:textId="77777777" w:rsidR="002320E2" w:rsidRPr="005D6AF8" w:rsidRDefault="002320E2" w:rsidP="009F576F">
            <w:pPr>
              <w:pStyle w:val="BodyText1"/>
            </w:pPr>
            <w:r w:rsidRPr="005D6AF8">
              <w:t>3</w:t>
            </w:r>
          </w:p>
        </w:tc>
        <w:tc>
          <w:tcPr>
            <w:tcW w:w="8782" w:type="dxa"/>
          </w:tcPr>
          <w:p w14:paraId="25B863FD" w14:textId="77777777" w:rsidR="002320E2" w:rsidRDefault="002320E2" w:rsidP="009F576F">
            <w:pPr>
              <w:pStyle w:val="BodyText1"/>
              <w:cnfStyle w:val="000000100000" w:firstRow="0" w:lastRow="0" w:firstColumn="0" w:lastColumn="0" w:oddVBand="0" w:evenVBand="0" w:oddHBand="1" w:evenHBand="0" w:firstRowFirstColumn="0" w:firstRowLastColumn="0" w:lastRowFirstColumn="0" w:lastRowLastColumn="0"/>
            </w:pPr>
            <w:r>
              <w:t xml:space="preserve">The student submits a stage 1 appeal to Registry by emailing an appeal form to </w:t>
            </w:r>
            <w:hyperlink r:id="rId17" w:history="1">
              <w:r w:rsidRPr="006D5402">
                <w:rPr>
                  <w:rStyle w:val="Hyperlink"/>
                </w:rPr>
                <w:t>CABAppeals@hud.ac.uk</w:t>
              </w:r>
            </w:hyperlink>
            <w:r>
              <w:rPr>
                <w:rStyle w:val="Hyperlink"/>
              </w:rPr>
              <w:t xml:space="preserve"> </w:t>
            </w:r>
          </w:p>
        </w:tc>
      </w:tr>
      <w:tr w:rsidR="002320E2" w14:paraId="6AE5CDCF" w14:textId="77777777" w:rsidTr="009F576F">
        <w:tc>
          <w:tcPr>
            <w:cnfStyle w:val="001000000000" w:firstRow="0" w:lastRow="0" w:firstColumn="1" w:lastColumn="0" w:oddVBand="0" w:evenVBand="0" w:oddHBand="0" w:evenHBand="0" w:firstRowFirstColumn="0" w:firstRowLastColumn="0" w:lastRowFirstColumn="0" w:lastRowLastColumn="0"/>
            <w:tcW w:w="846" w:type="dxa"/>
          </w:tcPr>
          <w:p w14:paraId="1CC8DEB5" w14:textId="77777777" w:rsidR="002320E2" w:rsidRPr="005D6AF8" w:rsidRDefault="002320E2" w:rsidP="009F576F">
            <w:pPr>
              <w:pStyle w:val="BodyText1"/>
            </w:pPr>
            <w:r w:rsidRPr="005D6AF8">
              <w:t>4</w:t>
            </w:r>
          </w:p>
        </w:tc>
        <w:tc>
          <w:tcPr>
            <w:tcW w:w="8782" w:type="dxa"/>
          </w:tcPr>
          <w:p w14:paraId="611482AB" w14:textId="77777777" w:rsidR="002320E2" w:rsidRDefault="002320E2" w:rsidP="009F576F">
            <w:pPr>
              <w:pStyle w:val="BodyText1"/>
              <w:cnfStyle w:val="000000000000" w:firstRow="0" w:lastRow="0" w:firstColumn="0" w:lastColumn="0" w:oddVBand="0" w:evenVBand="0" w:oddHBand="0" w:evenHBand="0" w:firstRowFirstColumn="0" w:firstRowLastColumn="0" w:lastRowFirstColumn="0" w:lastRowLastColumn="0"/>
            </w:pPr>
            <w:r>
              <w:t>Registry respond to the student within 20 working days of receiving the appeal with an outcome.</w:t>
            </w:r>
          </w:p>
        </w:tc>
      </w:tr>
      <w:tr w:rsidR="002320E2" w14:paraId="2EDEE53B"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D15696D" w14:textId="77777777" w:rsidR="002320E2" w:rsidRPr="005D6AF8" w:rsidRDefault="002320E2" w:rsidP="009F576F">
            <w:pPr>
              <w:pStyle w:val="BodyText1"/>
            </w:pPr>
            <w:r w:rsidRPr="005D6AF8">
              <w:t>5</w:t>
            </w:r>
          </w:p>
        </w:tc>
        <w:tc>
          <w:tcPr>
            <w:tcW w:w="8782" w:type="dxa"/>
          </w:tcPr>
          <w:p w14:paraId="097A2B61" w14:textId="77777777" w:rsidR="002320E2" w:rsidRDefault="002320E2" w:rsidP="009F576F">
            <w:pPr>
              <w:pStyle w:val="BodyText1"/>
              <w:cnfStyle w:val="000000100000" w:firstRow="0" w:lastRow="0" w:firstColumn="0" w:lastColumn="0" w:oddVBand="0" w:evenVBand="0" w:oddHBand="1" w:evenHBand="0" w:firstRowFirstColumn="0" w:firstRowLastColumn="0" w:lastRowFirstColumn="0" w:lastRowLastColumn="0"/>
            </w:pPr>
            <w:r>
              <w:t>The student may ask for a review in the stage 2 process within 10 working days of receiving the outcome letter.</w:t>
            </w:r>
          </w:p>
        </w:tc>
      </w:tr>
      <w:tr w:rsidR="002320E2" w14:paraId="2ADF47ED" w14:textId="77777777" w:rsidTr="009F576F">
        <w:tc>
          <w:tcPr>
            <w:cnfStyle w:val="001000000000" w:firstRow="0" w:lastRow="0" w:firstColumn="1" w:lastColumn="0" w:oddVBand="0" w:evenVBand="0" w:oddHBand="0" w:evenHBand="0" w:firstRowFirstColumn="0" w:firstRowLastColumn="0" w:lastRowFirstColumn="0" w:lastRowLastColumn="0"/>
            <w:tcW w:w="846" w:type="dxa"/>
          </w:tcPr>
          <w:p w14:paraId="380CDCBB" w14:textId="77777777" w:rsidR="002320E2" w:rsidRPr="005D6AF8" w:rsidRDefault="002320E2" w:rsidP="009F576F">
            <w:pPr>
              <w:pStyle w:val="BodyText1"/>
            </w:pPr>
            <w:r w:rsidRPr="005D6AF8">
              <w:t>6</w:t>
            </w:r>
          </w:p>
        </w:tc>
        <w:tc>
          <w:tcPr>
            <w:tcW w:w="8782" w:type="dxa"/>
          </w:tcPr>
          <w:p w14:paraId="607CB2AC" w14:textId="77777777" w:rsidR="002320E2" w:rsidRDefault="002320E2" w:rsidP="009F576F">
            <w:pPr>
              <w:pStyle w:val="BodyText1"/>
              <w:cnfStyle w:val="000000000000" w:firstRow="0" w:lastRow="0" w:firstColumn="0" w:lastColumn="0" w:oddVBand="0" w:evenVBand="0" w:oddHBand="0" w:evenHBand="0" w:firstRowFirstColumn="0" w:firstRowLastColumn="0" w:lastRowFirstColumn="0" w:lastRowLastColumn="0"/>
            </w:pPr>
            <w:r>
              <w:t>Registry issues a completion of procedures letter and the student has 12 months to contact the Office of Independent Adjudicator if not satisfied.</w:t>
            </w:r>
          </w:p>
        </w:tc>
      </w:tr>
    </w:tbl>
    <w:p w14:paraId="46B19654" w14:textId="2F521FA0" w:rsidR="00975848" w:rsidRDefault="004D4A76">
      <w:pPr>
        <w:rPr>
          <w:rFonts w:ascii="Arial" w:eastAsia="Times New Roman" w:hAnsi="Arial" w:cs="Arial"/>
          <w:b/>
          <w:bCs/>
          <w:i/>
          <w:iCs/>
          <w:sz w:val="24"/>
          <w:szCs w:val="20"/>
          <w:lang w:eastAsia="en-GB"/>
        </w:rPr>
      </w:pPr>
      <w:r w:rsidRPr="004D4A76">
        <w:rPr>
          <w:rFonts w:ascii="Arial" w:eastAsia="Times New Roman" w:hAnsi="Arial" w:cs="Arial"/>
          <w:b/>
          <w:bCs/>
          <w:i/>
          <w:iCs/>
          <w:sz w:val="24"/>
          <w:szCs w:val="20"/>
          <w:lang w:eastAsia="en-GB"/>
        </w:rPr>
        <w:t>Note: All results appeals must be conducted by the University of Huddersfield</w:t>
      </w:r>
    </w:p>
    <w:p w14:paraId="7C94002F" w14:textId="55884B22" w:rsidR="007B1BB4" w:rsidRPr="004D4A76" w:rsidRDefault="007B1BB4" w:rsidP="007D33C3">
      <w:pPr>
        <w:pStyle w:val="BodyText1"/>
        <w:jc w:val="center"/>
        <w:rPr>
          <w:b/>
          <w:bCs/>
        </w:rPr>
      </w:pPr>
      <w:bookmarkStart w:id="10" w:name="_Toc131499502"/>
      <w:r w:rsidRPr="007D33C3">
        <w:rPr>
          <w:b/>
          <w:bCs/>
        </w:rPr>
        <w:t xml:space="preserve">Results appeals </w:t>
      </w:r>
      <w:proofErr w:type="gramStart"/>
      <w:r w:rsidRPr="007D33C3">
        <w:rPr>
          <w:b/>
          <w:bCs/>
        </w:rPr>
        <w:t>workflow</w:t>
      </w:r>
      <w:bookmarkEnd w:id="10"/>
      <w:proofErr w:type="gramEnd"/>
    </w:p>
    <w:p w14:paraId="1D102387" w14:textId="7CBA3131" w:rsidR="00975848" w:rsidRDefault="007B1BB4" w:rsidP="00004A3A">
      <w:pPr>
        <w:jc w:val="center"/>
      </w:pPr>
      <w:r>
        <w:object w:dxaOrig="6780" w:dyaOrig="9976" w14:anchorId="3AA6B519">
          <v:shape id="_x0000_i1027" type="#_x0000_t75" style="width:221.25pt;height:325.5pt" o:ole="">
            <v:imagedata r:id="rId18" o:title=""/>
          </v:shape>
          <o:OLEObject Type="Embed" ProgID="Visio.Drawing.15" ShapeID="_x0000_i1027" DrawAspect="Content" ObjectID="_1750661154" r:id="rId19"/>
        </w:object>
      </w:r>
      <w:r w:rsidR="00975848">
        <w:br w:type="page"/>
      </w:r>
    </w:p>
    <w:p w14:paraId="31A0147B" w14:textId="77777777" w:rsidR="00975848" w:rsidRPr="003E7FD5" w:rsidRDefault="00975848" w:rsidP="00975848">
      <w:pPr>
        <w:pStyle w:val="HeadingC"/>
      </w:pPr>
      <w:bookmarkStart w:id="11" w:name="_Toc131499503"/>
      <w:bookmarkStart w:id="12" w:name="_Toc131499791"/>
      <w:r>
        <w:lastRenderedPageBreak/>
        <w:t xml:space="preserve">CP </w:t>
      </w:r>
      <w:r w:rsidRPr="003E7FD5">
        <w:t>Fitness to Practi</w:t>
      </w:r>
      <w:r>
        <w:t>s</w:t>
      </w:r>
      <w:r w:rsidRPr="003E7FD5">
        <w:t>e Procedures</w:t>
      </w:r>
      <w:bookmarkEnd w:id="11"/>
      <w:bookmarkEnd w:id="12"/>
    </w:p>
    <w:p w14:paraId="653E8840" w14:textId="77777777" w:rsidR="00975848" w:rsidRDefault="00975848" w:rsidP="00975848">
      <w:pPr>
        <w:pStyle w:val="BodyText1"/>
      </w:pPr>
      <w:r>
        <w:t>S</w:t>
      </w:r>
      <w:r w:rsidRPr="009467CD">
        <w:t xml:space="preserve">tudent </w:t>
      </w:r>
      <w:r>
        <w:t>Fitness to Practise Procedures</w:t>
      </w:r>
      <w:r w:rsidRPr="009467CD">
        <w:t xml:space="preserve"> </w:t>
      </w:r>
      <w:r>
        <w:t xml:space="preserve">only apply to certain courses such as Teaching, Health Care and Social work. It is important to discuss any courses where Fitness to Practise Procedures apply with new PIs. PIs follow the University of Huddersfield’s Regulations and Procedures outlined in </w:t>
      </w:r>
      <w:hyperlink r:id="rId20" w:history="1">
        <w:r w:rsidRPr="00FE33B8">
          <w:rPr>
            <w:rStyle w:val="Hyperlink"/>
          </w:rPr>
          <w:t>section 11 of the Regulations for Taught Students</w:t>
        </w:r>
      </w:hyperlink>
      <w:r>
        <w:t xml:space="preserve"> </w:t>
      </w:r>
      <w:r w:rsidRPr="003E7FD5">
        <w:rPr>
          <w:b/>
        </w:rPr>
        <w:t xml:space="preserve">The DALO must make sure that the PI issues students with the </w:t>
      </w:r>
      <w:r>
        <w:rPr>
          <w:b/>
        </w:rPr>
        <w:t>Regulations for Taught Students</w:t>
      </w:r>
      <w:r w:rsidRPr="003E7FD5">
        <w:rPr>
          <w:b/>
        </w:rPr>
        <w:t xml:space="preserve"> during their induction and that all staff and students are aware how the Fitness to Practi</w:t>
      </w:r>
      <w:r>
        <w:rPr>
          <w:b/>
        </w:rPr>
        <w:t>s</w:t>
      </w:r>
      <w:r w:rsidRPr="003E7FD5">
        <w:rPr>
          <w:b/>
        </w:rPr>
        <w:t>e Procedures work.</w:t>
      </w:r>
    </w:p>
    <w:p w14:paraId="5AC1011E" w14:textId="77777777" w:rsidR="007B1BB4" w:rsidRDefault="00975848" w:rsidP="00975848">
      <w:pPr>
        <w:pStyle w:val="BodyText1"/>
      </w:pPr>
      <w:r>
        <w:t>The PI will usually be responsible for invoking and completing the first informal stage. The outcome must be reported back to the DALO at the University. Stages 2 to 4 of the procedure will usually be completed by the School/University as illustrated in the flowchart below.</w:t>
      </w:r>
      <w:r w:rsidRPr="00975848">
        <w:t xml:space="preserve"> </w:t>
      </w:r>
    </w:p>
    <w:p w14:paraId="0142EB8B" w14:textId="0F7D01F0" w:rsidR="007B1BB4" w:rsidRPr="007D33C3" w:rsidRDefault="007B1BB4" w:rsidP="007D33C3">
      <w:pPr>
        <w:pStyle w:val="BodyText1"/>
        <w:jc w:val="center"/>
        <w:rPr>
          <w:b/>
          <w:bCs/>
        </w:rPr>
      </w:pPr>
      <w:bookmarkStart w:id="13" w:name="_Toc131499504"/>
      <w:r w:rsidRPr="007D33C3">
        <w:rPr>
          <w:b/>
          <w:bCs/>
        </w:rPr>
        <w:t>Fitness to Practise workflow</w:t>
      </w:r>
      <w:bookmarkEnd w:id="13"/>
    </w:p>
    <w:bookmarkStart w:id="14" w:name="_Toc131499505"/>
    <w:bookmarkEnd w:id="14"/>
    <w:p w14:paraId="2AFDE9BA" w14:textId="3954B224" w:rsidR="00975848" w:rsidRDefault="00975848" w:rsidP="007D33C3">
      <w:pPr>
        <w:pStyle w:val="BodyText1"/>
      </w:pPr>
      <w:r>
        <w:object w:dxaOrig="14911" w:dyaOrig="8671" w14:anchorId="752E5361">
          <v:shape id="_x0000_i1028" type="#_x0000_t75" style="width:504.75pt;height:292.5pt" o:ole="">
            <v:imagedata r:id="rId21" o:title=""/>
          </v:shape>
          <o:OLEObject Type="Embed" ProgID="Visio.Drawing.15" ShapeID="_x0000_i1028" DrawAspect="Content" ObjectID="_1750661155" r:id="rId22"/>
        </w:object>
      </w:r>
    </w:p>
    <w:p w14:paraId="69FC3C51" w14:textId="50D42222" w:rsidR="00975848" w:rsidRDefault="00975848" w:rsidP="00975848">
      <w:pPr>
        <w:pStyle w:val="BodyText1"/>
      </w:pPr>
    </w:p>
    <w:p w14:paraId="22ADF795" w14:textId="406C31CB" w:rsidR="00975848" w:rsidRDefault="00975848">
      <w:r>
        <w:br w:type="page"/>
      </w:r>
    </w:p>
    <w:p w14:paraId="34FA651C" w14:textId="77777777" w:rsidR="00975848" w:rsidRDefault="00975848" w:rsidP="00975848">
      <w:pPr>
        <w:pStyle w:val="BodyText1"/>
        <w:rPr>
          <w:b/>
          <w:bCs/>
          <w:color w:val="5B9BD5" w:themeColor="accent5"/>
        </w:rPr>
      </w:pPr>
      <w:r w:rsidRPr="00A7718E">
        <w:rPr>
          <w:b/>
          <w:bCs/>
          <w:color w:val="5B9BD5" w:themeColor="accent5"/>
        </w:rPr>
        <w:lastRenderedPageBreak/>
        <w:t xml:space="preserve">CP Fitness to </w:t>
      </w:r>
      <w:r>
        <w:rPr>
          <w:b/>
          <w:bCs/>
          <w:color w:val="5B9BD5" w:themeColor="accent5"/>
        </w:rPr>
        <w:t>Study</w:t>
      </w:r>
      <w:r w:rsidRPr="00A7718E">
        <w:rPr>
          <w:b/>
          <w:bCs/>
          <w:color w:val="5B9BD5" w:themeColor="accent5"/>
        </w:rPr>
        <w:t xml:space="preserve"> Procedures</w:t>
      </w:r>
    </w:p>
    <w:p w14:paraId="0505ABDB" w14:textId="7750AB39" w:rsidR="00975848" w:rsidRDefault="00975848" w:rsidP="00975848">
      <w:pPr>
        <w:pStyle w:val="BodyText1"/>
      </w:pPr>
      <w:r>
        <w:t xml:space="preserve">Where a PI has concerns surrounding a student’s physical or mental health, they are </w:t>
      </w:r>
      <w:r w:rsidRPr="009F576F">
        <w:t>usually</w:t>
      </w:r>
      <w:r>
        <w:t xml:space="preserve"> responsible for invoking Fitness to Study Procedures at stage 1, as outlined in the Regulations for Taught Students. They should also inform the DALO, the school and should contact Registry for support and advice. It is important to consider </w:t>
      </w:r>
      <w:proofErr w:type="gramStart"/>
      <w:r>
        <w:t>a number of</w:t>
      </w:r>
      <w:proofErr w:type="gramEnd"/>
      <w:r>
        <w:t xml:space="preserve"> factors such as the </w:t>
      </w:r>
      <w:r w:rsidR="00F9762B">
        <w:t xml:space="preserve">PI’s </w:t>
      </w:r>
      <w:r>
        <w:t>contract, the issue concerned and whether the PI feels confident in carrying out the procedure. The University will usually be responsible for the formal stages of the procedures (stages 2 and 3).</w:t>
      </w:r>
    </w:p>
    <w:p w14:paraId="459EAB61" w14:textId="099EDC96" w:rsidR="00975848" w:rsidRPr="007D33C3" w:rsidRDefault="007B1BB4" w:rsidP="007D33C3">
      <w:pPr>
        <w:pStyle w:val="BodyText1"/>
        <w:jc w:val="center"/>
        <w:rPr>
          <w:b/>
          <w:bCs/>
        </w:rPr>
      </w:pPr>
      <w:bookmarkStart w:id="15" w:name="_Toc131499506"/>
      <w:r w:rsidRPr="007D33C3">
        <w:rPr>
          <w:b/>
          <w:bCs/>
        </w:rPr>
        <w:t>Fitness to study workflow</w:t>
      </w:r>
      <w:bookmarkEnd w:id="15"/>
    </w:p>
    <w:p w14:paraId="73217244" w14:textId="48F19C52" w:rsidR="00975848" w:rsidRPr="00A7718E" w:rsidRDefault="00975848" w:rsidP="00975848">
      <w:pPr>
        <w:pStyle w:val="BodyText1"/>
      </w:pPr>
      <w:r>
        <w:object w:dxaOrig="15601" w:dyaOrig="10875" w14:anchorId="2C8CEA04">
          <v:shape id="_x0000_i1029" type="#_x0000_t75" style="width:489.75pt;height:341.25pt" o:ole="">
            <v:imagedata r:id="rId23" o:title=""/>
          </v:shape>
          <o:OLEObject Type="Embed" ProgID="Visio.Drawing.15" ShapeID="_x0000_i1029" DrawAspect="Content" ObjectID="_1750661156" r:id="rId24"/>
        </w:object>
      </w:r>
    </w:p>
    <w:p w14:paraId="11BF069A" w14:textId="0022E1BB" w:rsidR="00975848" w:rsidRDefault="00975848">
      <w:r>
        <w:br w:type="page"/>
      </w:r>
    </w:p>
    <w:p w14:paraId="3D95BA90" w14:textId="77777777" w:rsidR="00975848" w:rsidRPr="009467CD" w:rsidRDefault="00975848" w:rsidP="00975848">
      <w:pPr>
        <w:pStyle w:val="HeadingC"/>
        <w:rPr>
          <w:sz w:val="20"/>
        </w:rPr>
      </w:pPr>
      <w:bookmarkStart w:id="16" w:name="_Toc131499507"/>
      <w:bookmarkStart w:id="17" w:name="_Toc131499792"/>
      <w:bookmarkStart w:id="18" w:name="_Toc471747059"/>
      <w:r>
        <w:lastRenderedPageBreak/>
        <w:t>CP</w:t>
      </w:r>
      <w:r w:rsidRPr="00C416BB">
        <w:t xml:space="preserve"> Extenuating Circumstances</w:t>
      </w:r>
      <w:bookmarkEnd w:id="16"/>
      <w:bookmarkEnd w:id="17"/>
      <w:r w:rsidRPr="00C416BB">
        <w:t xml:space="preserve"> </w:t>
      </w:r>
      <w:bookmarkEnd w:id="18"/>
    </w:p>
    <w:p w14:paraId="3422F12B" w14:textId="77777777" w:rsidR="00975848" w:rsidRDefault="00975848" w:rsidP="00975848">
      <w:pPr>
        <w:pStyle w:val="BodyText1"/>
      </w:pPr>
      <w:r>
        <w:t>Extenuating Circumstances</w:t>
      </w:r>
      <w:r w:rsidRPr="009467CD">
        <w:t xml:space="preserve"> </w:t>
      </w:r>
      <w:r>
        <w:t xml:space="preserve">at PIs follow the University of Huddersfield’s Regulations and Procedures outlined in </w:t>
      </w:r>
      <w:hyperlink r:id="rId25" w:history="1">
        <w:r w:rsidRPr="00043562">
          <w:rPr>
            <w:rStyle w:val="Hyperlink"/>
          </w:rPr>
          <w:t>section 8 of the Regulations for Taught Students</w:t>
        </w:r>
      </w:hyperlink>
      <w:r>
        <w:t xml:space="preserve">. The DALO must make sure that the PI issues students with the Regulations for Taught Students during their induction and that all staff and students are aware how the Extenuating Circumstances procedure works. The process is as </w:t>
      </w:r>
      <w:proofErr w:type="gramStart"/>
      <w:r>
        <w:t>follows</w:t>
      </w:r>
      <w:proofErr w:type="gramEnd"/>
    </w:p>
    <w:tbl>
      <w:tblPr>
        <w:tblStyle w:val="ListTable3-Accent5"/>
        <w:tblW w:w="0" w:type="auto"/>
        <w:tblLook w:val="04A0" w:firstRow="1" w:lastRow="0" w:firstColumn="1" w:lastColumn="0" w:noHBand="0" w:noVBand="1"/>
        <w:tblCaption w:val="Extenuating Circumstances"/>
        <w:tblDescription w:val="Actions to show the Extenuating Circumstances process"/>
      </w:tblPr>
      <w:tblGrid>
        <w:gridCol w:w="737"/>
        <w:gridCol w:w="8279"/>
      </w:tblGrid>
      <w:tr w:rsidR="00975848" w14:paraId="13810BD0" w14:textId="77777777" w:rsidTr="009F576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10" w:type="dxa"/>
          </w:tcPr>
          <w:p w14:paraId="3B8AC3B5" w14:textId="77777777" w:rsidR="00975848" w:rsidRPr="005D6AF8" w:rsidRDefault="00975848" w:rsidP="009F576F">
            <w:pPr>
              <w:pStyle w:val="BodyText1"/>
            </w:pPr>
            <w:r w:rsidRPr="005D6AF8">
              <w:t>Step</w:t>
            </w:r>
          </w:p>
        </w:tc>
        <w:tc>
          <w:tcPr>
            <w:tcW w:w="8918" w:type="dxa"/>
          </w:tcPr>
          <w:p w14:paraId="5582BC5C" w14:textId="77777777" w:rsidR="00975848" w:rsidRPr="005D6AF8" w:rsidRDefault="00975848" w:rsidP="009F576F">
            <w:pPr>
              <w:pStyle w:val="BodyText1"/>
              <w:cnfStyle w:val="100000000000" w:firstRow="1" w:lastRow="0" w:firstColumn="0" w:lastColumn="0" w:oddVBand="0" w:evenVBand="0" w:oddHBand="0" w:evenHBand="0" w:firstRowFirstColumn="0" w:firstRowLastColumn="0" w:lastRowFirstColumn="0" w:lastRowLastColumn="0"/>
            </w:pPr>
            <w:r w:rsidRPr="005D6AF8">
              <w:t>Action</w:t>
            </w:r>
          </w:p>
        </w:tc>
      </w:tr>
      <w:tr w:rsidR="00975848" w14:paraId="336A9D2A"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58AEDDBD" w14:textId="77777777" w:rsidR="00975848" w:rsidRDefault="00975848" w:rsidP="009F576F">
            <w:pPr>
              <w:pStyle w:val="BodyText1"/>
            </w:pPr>
            <w:r>
              <w:t>1</w:t>
            </w:r>
          </w:p>
        </w:tc>
        <w:tc>
          <w:tcPr>
            <w:tcW w:w="8918" w:type="dxa"/>
          </w:tcPr>
          <w:p w14:paraId="477D77D2" w14:textId="77777777" w:rsidR="00975848" w:rsidRDefault="00975848" w:rsidP="009F576F">
            <w:pPr>
              <w:pStyle w:val="BodyText1"/>
              <w:cnfStyle w:val="000000100000" w:firstRow="0" w:lastRow="0" w:firstColumn="0" w:lastColumn="0" w:oddVBand="0" w:evenVBand="0" w:oddHBand="1" w:evenHBand="0" w:firstRowFirstColumn="0" w:firstRowLastColumn="0" w:lastRowFirstColumn="0" w:lastRowLastColumn="0"/>
            </w:pPr>
            <w:r>
              <w:t xml:space="preserve">A student at a </w:t>
            </w:r>
            <w:proofErr w:type="gramStart"/>
            <w:r>
              <w:t>PI wishes</w:t>
            </w:r>
            <w:proofErr w:type="gramEnd"/>
            <w:r>
              <w:t xml:space="preserve"> to submit an EC application.</w:t>
            </w:r>
          </w:p>
        </w:tc>
      </w:tr>
      <w:tr w:rsidR="00975848" w14:paraId="3581D0A3" w14:textId="77777777" w:rsidTr="009F576F">
        <w:tc>
          <w:tcPr>
            <w:cnfStyle w:val="001000000000" w:firstRow="0" w:lastRow="0" w:firstColumn="1" w:lastColumn="0" w:oddVBand="0" w:evenVBand="0" w:oddHBand="0" w:evenHBand="0" w:firstRowFirstColumn="0" w:firstRowLastColumn="0" w:lastRowFirstColumn="0" w:lastRowLastColumn="0"/>
            <w:tcW w:w="710" w:type="dxa"/>
          </w:tcPr>
          <w:p w14:paraId="1C1C20FD" w14:textId="77777777" w:rsidR="00975848" w:rsidRDefault="00975848" w:rsidP="009F576F">
            <w:pPr>
              <w:pStyle w:val="BodyText1"/>
            </w:pPr>
            <w:r>
              <w:t>2</w:t>
            </w:r>
          </w:p>
        </w:tc>
        <w:tc>
          <w:tcPr>
            <w:tcW w:w="8918" w:type="dxa"/>
          </w:tcPr>
          <w:p w14:paraId="7E2A3D62" w14:textId="77777777" w:rsidR="00975848" w:rsidRDefault="00975848" w:rsidP="009F576F">
            <w:pPr>
              <w:pStyle w:val="BodyText1"/>
              <w:cnfStyle w:val="000000000000" w:firstRow="0" w:lastRow="0" w:firstColumn="0" w:lastColumn="0" w:oddVBand="0" w:evenVBand="0" w:oddHBand="0" w:evenHBand="0" w:firstRowFirstColumn="0" w:firstRowLastColumn="0" w:lastRowFirstColumn="0" w:lastRowLastColumn="0"/>
            </w:pPr>
            <w:r>
              <w:t xml:space="preserve">The PI should notify the DALO and direct the student to the relevant Regulations, Procedures and Forms on the Huddersfield of University website </w:t>
            </w:r>
            <w:proofErr w:type="gramStart"/>
            <w:r>
              <w:t>and also</w:t>
            </w:r>
            <w:proofErr w:type="gramEnd"/>
            <w:r>
              <w:t xml:space="preserve"> advise them to contact the Students’ Union Advice Centre in the first instance.</w:t>
            </w:r>
          </w:p>
        </w:tc>
      </w:tr>
      <w:tr w:rsidR="00975848" w14:paraId="21F0154E" w14:textId="77777777" w:rsidTr="009F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502DD6C1" w14:textId="77777777" w:rsidR="00975848" w:rsidRDefault="00975848" w:rsidP="009F576F">
            <w:pPr>
              <w:pStyle w:val="BodyText1"/>
            </w:pPr>
            <w:r>
              <w:t>3</w:t>
            </w:r>
          </w:p>
        </w:tc>
        <w:tc>
          <w:tcPr>
            <w:tcW w:w="8918" w:type="dxa"/>
          </w:tcPr>
          <w:p w14:paraId="09948647" w14:textId="77777777" w:rsidR="00975848" w:rsidRDefault="00975848" w:rsidP="009F576F">
            <w:pPr>
              <w:pStyle w:val="BodyText1"/>
              <w:cnfStyle w:val="000000100000" w:firstRow="0" w:lastRow="0" w:firstColumn="0" w:lastColumn="0" w:oddVBand="0" w:evenVBand="0" w:oddHBand="1" w:evenHBand="0" w:firstRowFirstColumn="0" w:firstRowLastColumn="0" w:lastRowFirstColumn="0" w:lastRowLastColumn="0"/>
            </w:pPr>
            <w:r>
              <w:t xml:space="preserve">The student should submit their claim form and evidence to the </w:t>
            </w:r>
            <w:proofErr w:type="gramStart"/>
            <w:r>
              <w:t>School</w:t>
            </w:r>
            <w:proofErr w:type="gramEnd"/>
            <w:r>
              <w:t xml:space="preserve"> as outlined in the guidance.</w:t>
            </w:r>
          </w:p>
        </w:tc>
      </w:tr>
      <w:tr w:rsidR="00975848" w14:paraId="59A54957" w14:textId="77777777" w:rsidTr="009F576F">
        <w:tc>
          <w:tcPr>
            <w:cnfStyle w:val="001000000000" w:firstRow="0" w:lastRow="0" w:firstColumn="1" w:lastColumn="0" w:oddVBand="0" w:evenVBand="0" w:oddHBand="0" w:evenHBand="0" w:firstRowFirstColumn="0" w:firstRowLastColumn="0" w:lastRowFirstColumn="0" w:lastRowLastColumn="0"/>
            <w:tcW w:w="710" w:type="dxa"/>
          </w:tcPr>
          <w:p w14:paraId="126E1E11" w14:textId="77777777" w:rsidR="00975848" w:rsidRDefault="00975848" w:rsidP="009F576F">
            <w:pPr>
              <w:pStyle w:val="BodyText1"/>
            </w:pPr>
            <w:r>
              <w:t>4</w:t>
            </w:r>
          </w:p>
        </w:tc>
        <w:tc>
          <w:tcPr>
            <w:tcW w:w="8918" w:type="dxa"/>
          </w:tcPr>
          <w:p w14:paraId="258425A7" w14:textId="77777777" w:rsidR="00975848" w:rsidRDefault="00975848" w:rsidP="009F576F">
            <w:pPr>
              <w:pStyle w:val="BodyText1"/>
              <w:cnfStyle w:val="000000000000" w:firstRow="0" w:lastRow="0" w:firstColumn="0" w:lastColumn="0" w:oddVBand="0" w:evenVBand="0" w:oddHBand="0" w:evenHBand="0" w:firstRowFirstColumn="0" w:firstRowLastColumn="0" w:lastRowFirstColumn="0" w:lastRowLastColumn="0"/>
            </w:pPr>
            <w:r>
              <w:t>The school should make sure the DALO and PI are aware of any outcomes.</w:t>
            </w:r>
          </w:p>
        </w:tc>
      </w:tr>
    </w:tbl>
    <w:p w14:paraId="553A6DDE" w14:textId="2E8118D8" w:rsidR="00975848" w:rsidRDefault="00975848"/>
    <w:p w14:paraId="29A2F2B5" w14:textId="26CD3F0C" w:rsidR="007B1BB4" w:rsidRPr="007D33C3" w:rsidRDefault="007B1BB4" w:rsidP="007D33C3">
      <w:pPr>
        <w:pStyle w:val="BodyText1"/>
        <w:jc w:val="center"/>
        <w:rPr>
          <w:b/>
          <w:bCs/>
        </w:rPr>
      </w:pPr>
      <w:bookmarkStart w:id="19" w:name="_Toc131499508"/>
      <w:r w:rsidRPr="007D33C3">
        <w:rPr>
          <w:b/>
          <w:bCs/>
        </w:rPr>
        <w:t>Extenuating Circumstances workflow</w:t>
      </w:r>
      <w:bookmarkEnd w:id="19"/>
    </w:p>
    <w:p w14:paraId="03AF8423" w14:textId="2DB03794" w:rsidR="007B1BB4" w:rsidRDefault="007B1BB4" w:rsidP="007B1BB4">
      <w:pPr>
        <w:jc w:val="center"/>
      </w:pPr>
      <w:r>
        <w:object w:dxaOrig="3466" w:dyaOrig="6061" w14:anchorId="3126845A">
          <v:shape id="_x0000_i1030" type="#_x0000_t75" style="width:173.25pt;height:303pt" o:ole="">
            <v:imagedata r:id="rId26" o:title=""/>
          </v:shape>
          <o:OLEObject Type="Embed" ProgID="Visio.Drawing.15" ShapeID="_x0000_i1030" DrawAspect="Content" ObjectID="_1750661157" r:id="rId27"/>
        </w:object>
      </w:r>
    </w:p>
    <w:p w14:paraId="4A50D5E6" w14:textId="77777777" w:rsidR="00975848" w:rsidRDefault="00975848">
      <w:r>
        <w:br w:type="page"/>
      </w:r>
    </w:p>
    <w:p w14:paraId="16AF3991" w14:textId="77777777" w:rsidR="00975848" w:rsidRDefault="00975848" w:rsidP="00975848">
      <w:pPr>
        <w:pStyle w:val="HeadingC"/>
      </w:pPr>
      <w:bookmarkStart w:id="20" w:name="_Toc131499509"/>
      <w:bookmarkStart w:id="21" w:name="_Toc131499793"/>
      <w:r>
        <w:lastRenderedPageBreak/>
        <w:t>Disciplinary</w:t>
      </w:r>
      <w:bookmarkEnd w:id="20"/>
      <w:bookmarkEnd w:id="21"/>
    </w:p>
    <w:p w14:paraId="0836A827" w14:textId="77777777" w:rsidR="00EB4561" w:rsidRDefault="00975848" w:rsidP="00975848">
      <w:pPr>
        <w:pStyle w:val="BodyText1"/>
      </w:pPr>
      <w:r>
        <w:t>In cases where CP students are subject to disciplinary procedures</w:t>
      </w:r>
      <w:r w:rsidR="00EB4561">
        <w:t>:</w:t>
      </w:r>
    </w:p>
    <w:p w14:paraId="258EAE84" w14:textId="634AF179" w:rsidR="00EB4561" w:rsidRDefault="007B1BB4" w:rsidP="007B1BB4">
      <w:pPr>
        <w:pStyle w:val="BodyText1"/>
        <w:numPr>
          <w:ilvl w:val="0"/>
          <w:numId w:val="2"/>
        </w:numPr>
      </w:pPr>
      <w:r>
        <w:t>I</w:t>
      </w:r>
      <w:r w:rsidR="00975848">
        <w:t>n the first instance the PI should contact the DALO to discuss the issue.</w:t>
      </w:r>
    </w:p>
    <w:p w14:paraId="559F21BC" w14:textId="77777777" w:rsidR="007B1BB4" w:rsidRDefault="00975848" w:rsidP="007B1BB4">
      <w:pPr>
        <w:pStyle w:val="BodyText1"/>
        <w:numPr>
          <w:ilvl w:val="0"/>
          <w:numId w:val="2"/>
        </w:numPr>
      </w:pPr>
      <w:r>
        <w:t>The DALO and school should then</w:t>
      </w:r>
      <w:r w:rsidR="00EB4561">
        <w:t xml:space="preserve"> </w:t>
      </w:r>
      <w:r>
        <w:t xml:space="preserve">check the contract with the PI and discuss the disciplinary issue with Registry. </w:t>
      </w:r>
    </w:p>
    <w:p w14:paraId="5B4038F4" w14:textId="215FA16B" w:rsidR="00F46766" w:rsidRDefault="00975848" w:rsidP="00975848">
      <w:pPr>
        <w:pStyle w:val="BodyText1"/>
      </w:pPr>
      <w:r>
        <w:t>Normally the process to be followed will depend on factors such as who reports student numbers to Higher Education Statistics Agency (HESA), the contract and whether the issue concerns teaching, learning and assessment. Registry will support and advise the school and PI throughout the process.</w:t>
      </w:r>
      <w:r w:rsidR="002C773C">
        <w:t xml:space="preserve"> When you contact Registry, make it clear that the student is from a Partner Institution.</w:t>
      </w:r>
      <w:r w:rsidR="00F46766">
        <w:t xml:space="preserve"> See the workflow on the next page.</w:t>
      </w:r>
    </w:p>
    <w:p w14:paraId="6CC05824" w14:textId="7D935FF5" w:rsidR="007D33C3" w:rsidRDefault="007D33C3" w:rsidP="00975848">
      <w:pPr>
        <w:pStyle w:val="BodyText1"/>
      </w:pPr>
      <w:r>
        <w:t>See the disciplinary workflow (page 1</w:t>
      </w:r>
      <w:r w:rsidR="003E0175">
        <w:t>2</w:t>
      </w:r>
      <w:r>
        <w:t>) for further information.</w:t>
      </w:r>
    </w:p>
    <w:p w14:paraId="57C8B3D7" w14:textId="77777777" w:rsidR="00F46766" w:rsidRDefault="00F46766">
      <w:pPr>
        <w:rPr>
          <w:rFonts w:ascii="Arial" w:eastAsia="Times New Roman" w:hAnsi="Arial" w:cs="Arial"/>
          <w:sz w:val="24"/>
          <w:szCs w:val="20"/>
          <w:lang w:eastAsia="en-GB"/>
        </w:rPr>
      </w:pPr>
      <w:r>
        <w:br w:type="page"/>
      </w:r>
    </w:p>
    <w:p w14:paraId="74046DC0" w14:textId="59918556" w:rsidR="00975848" w:rsidRPr="007D33C3" w:rsidRDefault="00F46766" w:rsidP="007D33C3">
      <w:pPr>
        <w:pStyle w:val="BodyText1"/>
        <w:jc w:val="center"/>
        <w:rPr>
          <w:b/>
          <w:bCs/>
        </w:rPr>
      </w:pPr>
      <w:bookmarkStart w:id="22" w:name="_Toc131499510"/>
      <w:r w:rsidRPr="007D33C3">
        <w:rPr>
          <w:b/>
          <w:bCs/>
        </w:rPr>
        <w:lastRenderedPageBreak/>
        <w:t>Disciplinary workflow</w:t>
      </w:r>
      <w:bookmarkEnd w:id="22"/>
    </w:p>
    <w:p w14:paraId="1F481E92" w14:textId="795AD265" w:rsidR="002320E2" w:rsidRDefault="00975848" w:rsidP="00975848">
      <w:r>
        <w:object w:dxaOrig="13321" w:dyaOrig="16050" w14:anchorId="49BF7B35">
          <v:shape id="_x0000_i1031" type="#_x0000_t75" style="width:7in;height:607.5pt" o:ole="">
            <v:imagedata r:id="rId28" o:title=""/>
          </v:shape>
          <o:OLEObject Type="Embed" ProgID="Visio.Drawing.15" ShapeID="_x0000_i1031" DrawAspect="Content" ObjectID="_1750661158" r:id="rId29"/>
        </w:object>
      </w:r>
    </w:p>
    <w:sectPr w:rsidR="002320E2" w:rsidSect="00F46766">
      <w:headerReference w:type="default" r:id="rId30"/>
      <w:footerReference w:type="default" r:id="rId31"/>
      <w:pgSz w:w="11906" w:h="16838"/>
      <w:pgMar w:top="851"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1DD4" w14:textId="77777777" w:rsidR="00F46766" w:rsidRDefault="00F46766" w:rsidP="00F46766">
      <w:pPr>
        <w:spacing w:after="0" w:line="240" w:lineRule="auto"/>
      </w:pPr>
      <w:r>
        <w:separator/>
      </w:r>
    </w:p>
  </w:endnote>
  <w:endnote w:type="continuationSeparator" w:id="0">
    <w:p w14:paraId="14C2F056" w14:textId="77777777" w:rsidR="00F46766" w:rsidRDefault="00F46766" w:rsidP="00F4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52875"/>
      <w:docPartObj>
        <w:docPartGallery w:val="Page Numbers (Bottom of Page)"/>
        <w:docPartUnique/>
      </w:docPartObj>
    </w:sdtPr>
    <w:sdtEndPr>
      <w:rPr>
        <w:noProof/>
        <w:color w:val="2E74B5" w:themeColor="accent5" w:themeShade="BF"/>
      </w:rPr>
    </w:sdtEndPr>
    <w:sdtContent>
      <w:p w14:paraId="689AB856" w14:textId="285DC136" w:rsidR="00F46766" w:rsidRPr="007D33C3" w:rsidRDefault="00F46766" w:rsidP="00F46766">
        <w:pPr>
          <w:pStyle w:val="Footer"/>
          <w:pBdr>
            <w:top w:val="single" w:sz="4" w:space="1" w:color="auto"/>
          </w:pBdr>
          <w:jc w:val="center"/>
          <w:rPr>
            <w:color w:val="2E74B5" w:themeColor="accent5" w:themeShade="BF"/>
          </w:rPr>
        </w:pPr>
        <w:r w:rsidRPr="007D33C3">
          <w:rPr>
            <w:rFonts w:ascii="Arial" w:hAnsi="Arial" w:cs="Arial"/>
            <w:color w:val="2E74B5" w:themeColor="accent5" w:themeShade="BF"/>
          </w:rPr>
          <w:fldChar w:fldCharType="begin"/>
        </w:r>
        <w:r w:rsidRPr="007D33C3">
          <w:rPr>
            <w:rFonts w:ascii="Arial" w:hAnsi="Arial" w:cs="Arial"/>
            <w:color w:val="2E74B5" w:themeColor="accent5" w:themeShade="BF"/>
          </w:rPr>
          <w:instrText xml:space="preserve"> PAGE   \* MERGEFORMAT </w:instrText>
        </w:r>
        <w:r w:rsidRPr="007D33C3">
          <w:rPr>
            <w:rFonts w:ascii="Arial" w:hAnsi="Arial" w:cs="Arial"/>
            <w:color w:val="2E74B5" w:themeColor="accent5" w:themeShade="BF"/>
          </w:rPr>
          <w:fldChar w:fldCharType="separate"/>
        </w:r>
        <w:r w:rsidRPr="007D33C3">
          <w:rPr>
            <w:rFonts w:ascii="Arial" w:hAnsi="Arial" w:cs="Arial"/>
            <w:noProof/>
            <w:color w:val="2E74B5" w:themeColor="accent5" w:themeShade="BF"/>
          </w:rPr>
          <w:t>2</w:t>
        </w:r>
        <w:r w:rsidRPr="007D33C3">
          <w:rPr>
            <w:rFonts w:ascii="Arial" w:hAnsi="Arial" w:cs="Arial"/>
            <w:noProof/>
            <w:color w:val="2E74B5" w:themeColor="accent5" w:themeShade="B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E114" w14:textId="77777777" w:rsidR="00F46766" w:rsidRDefault="00F46766" w:rsidP="00F46766">
      <w:pPr>
        <w:spacing w:after="0" w:line="240" w:lineRule="auto"/>
      </w:pPr>
      <w:r>
        <w:separator/>
      </w:r>
    </w:p>
  </w:footnote>
  <w:footnote w:type="continuationSeparator" w:id="0">
    <w:p w14:paraId="1B89EDEE" w14:textId="77777777" w:rsidR="00F46766" w:rsidRDefault="00F46766" w:rsidP="00F4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EAF2" w14:textId="11E8C504" w:rsidR="00F46766" w:rsidRPr="00F46766" w:rsidRDefault="00F46766" w:rsidP="00F46766">
    <w:pPr>
      <w:pBdr>
        <w:bottom w:val="single" w:sz="4" w:space="1" w:color="auto"/>
      </w:pBdr>
      <w:jc w:val="center"/>
      <w:rPr>
        <w:rFonts w:ascii="Arial" w:hAnsi="Arial" w:cs="Arial"/>
        <w:b/>
        <w:bCs/>
        <w:color w:val="0070C0"/>
      </w:rPr>
    </w:pPr>
    <w:r w:rsidRPr="00F46766">
      <w:rPr>
        <w:rFonts w:ascii="Arial" w:hAnsi="Arial" w:cs="Arial"/>
        <w:b/>
        <w:bCs/>
        <w:color w:val="0070C0"/>
      </w:rPr>
      <w:t>Collaborative Provision</w:t>
    </w:r>
    <w:r>
      <w:rPr>
        <w:rFonts w:ascii="Arial" w:hAnsi="Arial" w:cs="Arial"/>
        <w:b/>
        <w:bCs/>
        <w:color w:val="0070C0"/>
      </w:rPr>
      <w:t xml:space="preserve">: </w:t>
    </w:r>
    <w:r w:rsidRPr="00F46766">
      <w:rPr>
        <w:rFonts w:ascii="Arial" w:hAnsi="Arial" w:cs="Arial"/>
        <w:b/>
        <w:bCs/>
        <w:color w:val="0070C0"/>
      </w:rPr>
      <w:t xml:space="preserve">Quick Guide to Student </w:t>
    </w:r>
    <w:r w:rsidR="008179C6">
      <w:rPr>
        <w:rFonts w:ascii="Arial" w:hAnsi="Arial" w:cs="Arial"/>
        <w:b/>
        <w:bCs/>
        <w:color w:val="0070C0"/>
      </w:rPr>
      <w:t>C</w:t>
    </w:r>
    <w:r w:rsidRPr="00F46766">
      <w:rPr>
        <w:rFonts w:ascii="Arial" w:hAnsi="Arial" w:cs="Arial"/>
        <w:b/>
        <w:bCs/>
        <w:color w:val="0070C0"/>
      </w:rPr>
      <w:t>asework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7DB"/>
    <w:multiLevelType w:val="hybridMultilevel"/>
    <w:tmpl w:val="212AC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E920D7"/>
    <w:multiLevelType w:val="hybridMultilevel"/>
    <w:tmpl w:val="10607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1069727">
    <w:abstractNumId w:val="0"/>
  </w:num>
  <w:num w:numId="2" w16cid:durableId="1974824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C2"/>
    <w:rsid w:val="00004A3A"/>
    <w:rsid w:val="002320E2"/>
    <w:rsid w:val="002C773C"/>
    <w:rsid w:val="003E0175"/>
    <w:rsid w:val="00410CC4"/>
    <w:rsid w:val="004D4A76"/>
    <w:rsid w:val="005F0D40"/>
    <w:rsid w:val="007B1BB4"/>
    <w:rsid w:val="007D33C3"/>
    <w:rsid w:val="008179C6"/>
    <w:rsid w:val="008C01C2"/>
    <w:rsid w:val="00975848"/>
    <w:rsid w:val="00BC2F38"/>
    <w:rsid w:val="00DC1019"/>
    <w:rsid w:val="00E32CD3"/>
    <w:rsid w:val="00EB4561"/>
    <w:rsid w:val="00F04566"/>
    <w:rsid w:val="00F46766"/>
    <w:rsid w:val="00F9762B"/>
    <w:rsid w:val="00FC3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2752854"/>
  <w15:chartTrackingRefBased/>
  <w15:docId w15:val="{4439BAA7-92FE-42DC-8F19-9D02658C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D3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3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F0D40"/>
    <w:rPr>
      <w:color w:val="0000FF"/>
      <w:u w:val="single"/>
    </w:rPr>
  </w:style>
  <w:style w:type="table" w:styleId="ListTable3-Accent5">
    <w:name w:val="List Table 3 Accent 5"/>
    <w:basedOn w:val="TableNormal"/>
    <w:uiPriority w:val="48"/>
    <w:rsid w:val="005F0D4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BodyText1">
    <w:name w:val="Body Text1"/>
    <w:basedOn w:val="Normal"/>
    <w:qFormat/>
    <w:rsid w:val="005F0D40"/>
    <w:pPr>
      <w:autoSpaceDE w:val="0"/>
      <w:autoSpaceDN w:val="0"/>
      <w:adjustRightInd w:val="0"/>
      <w:spacing w:before="80" w:after="80" w:line="240" w:lineRule="auto"/>
    </w:pPr>
    <w:rPr>
      <w:rFonts w:ascii="Arial" w:eastAsia="Times New Roman" w:hAnsi="Arial" w:cs="Arial"/>
      <w:sz w:val="24"/>
      <w:szCs w:val="20"/>
      <w:lang w:eastAsia="en-GB"/>
    </w:rPr>
  </w:style>
  <w:style w:type="paragraph" w:customStyle="1" w:styleId="HeadingC">
    <w:name w:val="Heading C"/>
    <w:basedOn w:val="Normal"/>
    <w:qFormat/>
    <w:rsid w:val="005F0D40"/>
    <w:pPr>
      <w:autoSpaceDE w:val="0"/>
      <w:autoSpaceDN w:val="0"/>
      <w:adjustRightInd w:val="0"/>
      <w:spacing w:before="120" w:after="0" w:line="240" w:lineRule="auto"/>
    </w:pPr>
    <w:rPr>
      <w:rFonts w:ascii="Arial" w:eastAsia="Times New Roman" w:hAnsi="Arial" w:cs="Arial"/>
      <w:b/>
      <w:bCs/>
      <w:color w:val="5B9BD5" w:themeColor="accent5"/>
      <w:sz w:val="24"/>
      <w:szCs w:val="20"/>
      <w:lang w:eastAsia="en-GB"/>
    </w:rPr>
  </w:style>
  <w:style w:type="character" w:styleId="FollowedHyperlink">
    <w:name w:val="FollowedHyperlink"/>
    <w:basedOn w:val="DefaultParagraphFont"/>
    <w:uiPriority w:val="99"/>
    <w:semiHidden/>
    <w:unhideWhenUsed/>
    <w:rsid w:val="002320E2"/>
    <w:rPr>
      <w:color w:val="954F72" w:themeColor="followedHyperlink"/>
      <w:u w:val="single"/>
    </w:rPr>
  </w:style>
  <w:style w:type="paragraph" w:styleId="Header">
    <w:name w:val="header"/>
    <w:basedOn w:val="Normal"/>
    <w:link w:val="HeaderChar"/>
    <w:uiPriority w:val="99"/>
    <w:unhideWhenUsed/>
    <w:rsid w:val="00F46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66"/>
  </w:style>
  <w:style w:type="paragraph" w:styleId="Footer">
    <w:name w:val="footer"/>
    <w:basedOn w:val="Normal"/>
    <w:link w:val="FooterChar"/>
    <w:uiPriority w:val="99"/>
    <w:unhideWhenUsed/>
    <w:rsid w:val="00F46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66"/>
  </w:style>
  <w:style w:type="character" w:customStyle="1" w:styleId="Heading1Char">
    <w:name w:val="Heading 1 Char"/>
    <w:basedOn w:val="DefaultParagraphFont"/>
    <w:link w:val="Heading1"/>
    <w:uiPriority w:val="9"/>
    <w:rsid w:val="007D3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D33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D33C3"/>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7D33C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ac.uk/policies/registry/regs-taught/section-13/" TargetMode="External"/><Relationship Id="rId18" Type="http://schemas.openxmlformats.org/officeDocument/2006/relationships/image" Target="media/image4.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hyperlink" Target="mailto:CABAppeals@hud.ac.uk" TargetMode="External"/><Relationship Id="rId25" Type="http://schemas.openxmlformats.org/officeDocument/2006/relationships/hyperlink" Target="https://www.hud.ac.uk/policies/registry/regs-taught/section-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ud.ac.uk/policies/registry/regs-taught/section-9/" TargetMode="External"/><Relationship Id="rId20" Type="http://schemas.openxmlformats.org/officeDocument/2006/relationships/hyperlink" Target="https://www.hud.ac.uk/policies/registry/regs-taught/section-11/" TargetMode="External"/><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Visio_Drawing4.vsd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image" Target="media/image6.emf"/><Relationship Id="rId28" Type="http://schemas.openxmlformats.org/officeDocument/2006/relationships/image" Target="media/image8.emf"/><Relationship Id="rId10" Type="http://schemas.openxmlformats.org/officeDocument/2006/relationships/hyperlink" Target="https://www.hud.ac.uk/policies/registry/regs-taught/section-10/" TargetMode="External"/><Relationship Id="rId19" Type="http://schemas.openxmlformats.org/officeDocument/2006/relationships/package" Target="embeddings/Microsoft_Visio_Drawing2.vsdx"/><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ud.ac.uk/policies/registry/regs-taught/section-10/" TargetMode="External"/><Relationship Id="rId14" Type="http://schemas.openxmlformats.org/officeDocument/2006/relationships/image" Target="media/image3.emf"/><Relationship Id="rId22" Type="http://schemas.openxmlformats.org/officeDocument/2006/relationships/package" Target="embeddings/Microsoft_Visio_Drawing3.vsdx"/><Relationship Id="rId27" Type="http://schemas.openxmlformats.org/officeDocument/2006/relationships/package" Target="embeddings/Microsoft_Visio_Drawing5.vsdx"/><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ABAF-BB7D-4425-A315-90281B32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Evans</dc:creator>
  <cp:keywords/>
  <dc:description/>
  <cp:lastModifiedBy>Diane Evans</cp:lastModifiedBy>
  <cp:revision>4</cp:revision>
  <cp:lastPrinted>2023-04-04T10:24:00Z</cp:lastPrinted>
  <dcterms:created xsi:type="dcterms:W3CDTF">2023-04-03T13:42:00Z</dcterms:created>
  <dcterms:modified xsi:type="dcterms:W3CDTF">2023-07-12T08:59:00Z</dcterms:modified>
</cp:coreProperties>
</file>