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0485"/>
      </w:tblGrid>
      <w:tr w:rsidR="001948A0" w14:paraId="322566A1" w14:textId="77777777" w:rsidTr="008A75DA">
        <w:trPr>
          <w:trHeight w:val="391"/>
        </w:trPr>
        <w:tc>
          <w:tcPr>
            <w:tcW w:w="10485" w:type="dxa"/>
            <w:shd w:val="clear" w:color="auto" w:fill="1F4E79" w:themeFill="accent1" w:themeFillShade="80"/>
            <w:vAlign w:val="center"/>
          </w:tcPr>
          <w:p w14:paraId="1B47F241" w14:textId="77777777" w:rsidR="001948A0" w:rsidRPr="001948A0" w:rsidRDefault="005041B3"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University Teaching and Learning Committee </w:t>
            </w:r>
          </w:p>
        </w:tc>
      </w:tr>
      <w:tr w:rsidR="001948A0" w14:paraId="08EDC019" w14:textId="77777777" w:rsidTr="008A75DA">
        <w:trPr>
          <w:trHeight w:val="411"/>
        </w:trPr>
        <w:tc>
          <w:tcPr>
            <w:tcW w:w="10485" w:type="dxa"/>
            <w:vAlign w:val="center"/>
          </w:tcPr>
          <w:p w14:paraId="5FDEFF1C" w14:textId="51946AC4" w:rsidR="001948A0" w:rsidRPr="001948A0" w:rsidRDefault="00B95DFD" w:rsidP="001948A0">
            <w:pPr>
              <w:jc w:val="center"/>
              <w:rPr>
                <w:rFonts w:ascii="Arial" w:hAnsi="Arial" w:cs="Arial"/>
                <w:b/>
                <w:sz w:val="24"/>
                <w:szCs w:val="24"/>
              </w:rPr>
            </w:pPr>
            <w:r>
              <w:rPr>
                <w:rFonts w:ascii="Arial" w:hAnsi="Arial" w:cs="Arial"/>
                <w:b/>
                <w:color w:val="1F4E79" w:themeColor="accent1" w:themeShade="80"/>
                <w:sz w:val="24"/>
                <w:szCs w:val="24"/>
              </w:rPr>
              <w:t>18 May</w:t>
            </w:r>
            <w:r w:rsidR="00E95BFF">
              <w:rPr>
                <w:rFonts w:ascii="Arial" w:hAnsi="Arial" w:cs="Arial"/>
                <w:b/>
                <w:color w:val="1F4E79" w:themeColor="accent1" w:themeShade="80"/>
                <w:sz w:val="24"/>
                <w:szCs w:val="24"/>
              </w:rPr>
              <w:t xml:space="preserve"> 2022</w:t>
            </w:r>
            <w:r w:rsidR="007E6115">
              <w:rPr>
                <w:rFonts w:ascii="Arial" w:hAnsi="Arial" w:cs="Arial"/>
                <w:b/>
                <w:color w:val="1F4E79" w:themeColor="accent1" w:themeShade="80"/>
                <w:sz w:val="24"/>
                <w:szCs w:val="24"/>
              </w:rPr>
              <w:t>,</w:t>
            </w:r>
            <w:r w:rsidR="00E95BFF">
              <w:rPr>
                <w:rFonts w:ascii="Arial" w:hAnsi="Arial" w:cs="Arial"/>
                <w:b/>
                <w:color w:val="1F4E79" w:themeColor="accent1" w:themeShade="80"/>
                <w:sz w:val="24"/>
                <w:szCs w:val="24"/>
              </w:rPr>
              <w:t xml:space="preserve"> </w:t>
            </w:r>
            <w:r w:rsidR="007E6115">
              <w:rPr>
                <w:rFonts w:ascii="Arial" w:hAnsi="Arial" w:cs="Arial"/>
                <w:b/>
                <w:color w:val="1F4E79" w:themeColor="accent1" w:themeShade="80"/>
                <w:sz w:val="24"/>
                <w:szCs w:val="24"/>
              </w:rPr>
              <w:t>09.30 – 12.30</w:t>
            </w:r>
          </w:p>
        </w:tc>
      </w:tr>
    </w:tbl>
    <w:p w14:paraId="23EF3A47" w14:textId="77777777" w:rsidR="001948A0" w:rsidRPr="001948A0" w:rsidRDefault="001948A0" w:rsidP="001948A0">
      <w:pPr>
        <w:spacing w:after="0" w:line="240" w:lineRule="auto"/>
        <w:rPr>
          <w:sz w:val="16"/>
          <w:szCs w:val="16"/>
        </w:rPr>
      </w:pPr>
    </w:p>
    <w:tbl>
      <w:tblPr>
        <w:tblStyle w:val="TableGrid"/>
        <w:tblW w:w="10485" w:type="dxa"/>
        <w:tblLook w:val="04A0" w:firstRow="1" w:lastRow="0" w:firstColumn="1" w:lastColumn="0" w:noHBand="0" w:noVBand="1"/>
      </w:tblPr>
      <w:tblGrid>
        <w:gridCol w:w="2689"/>
        <w:gridCol w:w="7796"/>
      </w:tblGrid>
      <w:tr w:rsidR="001948A0" w14:paraId="06FC6CE5" w14:textId="77777777" w:rsidTr="007E6115">
        <w:trPr>
          <w:trHeight w:val="411"/>
        </w:trPr>
        <w:tc>
          <w:tcPr>
            <w:tcW w:w="10485" w:type="dxa"/>
            <w:gridSpan w:val="2"/>
            <w:shd w:val="clear" w:color="auto" w:fill="1F4E79" w:themeFill="accent1" w:themeFillShade="80"/>
            <w:vAlign w:val="center"/>
          </w:tcPr>
          <w:p w14:paraId="2B9B7C4D" w14:textId="22F9A3FA" w:rsidR="001948A0" w:rsidRPr="001948A0" w:rsidRDefault="003A24C0"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1845B2C2" w14:textId="77777777" w:rsidTr="007E6115">
        <w:trPr>
          <w:trHeight w:val="411"/>
        </w:trPr>
        <w:tc>
          <w:tcPr>
            <w:tcW w:w="2689" w:type="dxa"/>
            <w:vAlign w:val="center"/>
          </w:tcPr>
          <w:p w14:paraId="1CEA3548" w14:textId="77777777" w:rsidR="001948A0" w:rsidRPr="007774DE" w:rsidRDefault="00054A0E" w:rsidP="001948A0">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Venue:</w:t>
            </w:r>
          </w:p>
        </w:tc>
        <w:tc>
          <w:tcPr>
            <w:tcW w:w="7796" w:type="dxa"/>
            <w:vAlign w:val="center"/>
          </w:tcPr>
          <w:p w14:paraId="600AC573" w14:textId="07103C6F" w:rsidR="001948A0" w:rsidRPr="007774DE" w:rsidRDefault="006579DA" w:rsidP="00054A0E">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McClelland Suite</w:t>
            </w:r>
          </w:p>
        </w:tc>
      </w:tr>
      <w:tr w:rsidR="004F663F" w14:paraId="59C51A7A" w14:textId="77777777" w:rsidTr="007E6115">
        <w:trPr>
          <w:trHeight w:val="411"/>
        </w:trPr>
        <w:tc>
          <w:tcPr>
            <w:tcW w:w="2689" w:type="dxa"/>
            <w:vAlign w:val="center"/>
          </w:tcPr>
          <w:p w14:paraId="1BC3319F" w14:textId="77777777" w:rsidR="004F663F" w:rsidRPr="007774DE" w:rsidRDefault="004F663F" w:rsidP="00054A0E">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Author:</w:t>
            </w:r>
          </w:p>
        </w:tc>
        <w:tc>
          <w:tcPr>
            <w:tcW w:w="7796" w:type="dxa"/>
            <w:vAlign w:val="center"/>
          </w:tcPr>
          <w:p w14:paraId="2A5353DD" w14:textId="176E1A3D" w:rsidR="004F663F" w:rsidRPr="007774DE" w:rsidRDefault="00B90323" w:rsidP="002D6C6A">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Philippa Hill</w:t>
            </w:r>
          </w:p>
        </w:tc>
      </w:tr>
      <w:tr w:rsidR="003A24C0" w14:paraId="4DB5AF78" w14:textId="77777777" w:rsidTr="007E6115">
        <w:trPr>
          <w:trHeight w:val="411"/>
        </w:trPr>
        <w:tc>
          <w:tcPr>
            <w:tcW w:w="2689" w:type="dxa"/>
            <w:vAlign w:val="center"/>
          </w:tcPr>
          <w:p w14:paraId="2FCBC439" w14:textId="143974DA" w:rsidR="003A24C0" w:rsidRPr="007774DE" w:rsidRDefault="003A24C0" w:rsidP="00054A0E">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Present:</w:t>
            </w:r>
          </w:p>
        </w:tc>
        <w:tc>
          <w:tcPr>
            <w:tcW w:w="7796" w:type="dxa"/>
            <w:vAlign w:val="center"/>
          </w:tcPr>
          <w:p w14:paraId="37337FAC" w14:textId="4A0251F1" w:rsidR="003A24C0" w:rsidRPr="007774DE" w:rsidRDefault="00EC45C3" w:rsidP="002D6C6A">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 xml:space="preserve">Prof Jane Owen-Lynch (Chair), Dr Rachel Birds, Dr Robert Allan, </w:t>
            </w:r>
            <w:r w:rsidR="003A24C0" w:rsidRPr="007774DE">
              <w:rPr>
                <w:rFonts w:ascii="Arial" w:hAnsi="Arial" w:cs="Arial"/>
                <w:color w:val="1F4E79" w:themeColor="accent1" w:themeShade="80"/>
                <w:sz w:val="24"/>
                <w:szCs w:val="24"/>
              </w:rPr>
              <w:t>Miss Millie Avery</w:t>
            </w:r>
            <w:r w:rsidRPr="007774DE">
              <w:rPr>
                <w:rFonts w:ascii="Arial" w:hAnsi="Arial" w:cs="Arial"/>
                <w:color w:val="1F4E79" w:themeColor="accent1" w:themeShade="80"/>
                <w:sz w:val="24"/>
                <w:szCs w:val="24"/>
              </w:rPr>
              <w:t>, Ms Claire Aydogan, Dr Georgina Blakeley, Dr Liz Bennett, Prof Andrew Crampton, Prof Eleanor Davies, Ms Lydia Devenny, Prof Michael Ginger, Prof Kevin Orr, Dr Tarja Kinnunen, Dr Keith McCabe, Mr Matt Mills, Mrs Jo Mitchell, Mr Krish Pilicudale, Mr Tim Hosker, Dr Carla Reeves, Dr Ruth Stoker, Dr Amanda Tinker</w:t>
            </w:r>
            <w:r w:rsidR="00386626" w:rsidRPr="007774DE">
              <w:rPr>
                <w:rFonts w:ascii="Arial" w:hAnsi="Arial" w:cs="Arial"/>
                <w:color w:val="1F4E79" w:themeColor="accent1" w:themeShade="80"/>
                <w:sz w:val="24"/>
                <w:szCs w:val="24"/>
              </w:rPr>
              <w:t>, Mr Andrew Mandebura</w:t>
            </w:r>
            <w:r w:rsidRPr="007774DE">
              <w:rPr>
                <w:rFonts w:ascii="Arial" w:hAnsi="Arial" w:cs="Arial"/>
                <w:color w:val="1F4E79" w:themeColor="accent1" w:themeShade="80"/>
                <w:sz w:val="24"/>
                <w:szCs w:val="24"/>
              </w:rPr>
              <w:t xml:space="preserve"> </w:t>
            </w:r>
          </w:p>
        </w:tc>
      </w:tr>
      <w:tr w:rsidR="003A24C0" w14:paraId="52BCDE7D" w14:textId="77777777" w:rsidTr="007E6115">
        <w:trPr>
          <w:trHeight w:val="411"/>
        </w:trPr>
        <w:tc>
          <w:tcPr>
            <w:tcW w:w="2689" w:type="dxa"/>
            <w:vAlign w:val="center"/>
          </w:tcPr>
          <w:p w14:paraId="4E195B18" w14:textId="4A417B58" w:rsidR="003A24C0" w:rsidRPr="007774DE" w:rsidRDefault="003A24C0" w:rsidP="00054A0E">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In attendance:</w:t>
            </w:r>
          </w:p>
        </w:tc>
        <w:tc>
          <w:tcPr>
            <w:tcW w:w="7796" w:type="dxa"/>
            <w:vAlign w:val="center"/>
          </w:tcPr>
          <w:p w14:paraId="3DC89304" w14:textId="47A84CC3" w:rsidR="003A24C0" w:rsidRPr="007774DE" w:rsidRDefault="003A24C0" w:rsidP="002D6C6A">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Ms Lydia Blundell, Mr Jason Smith, Mrs Philippa Hill (Secretary)</w:t>
            </w:r>
          </w:p>
        </w:tc>
      </w:tr>
      <w:tr w:rsidR="003A24C0" w14:paraId="26EAA26C" w14:textId="77777777" w:rsidTr="007E6115">
        <w:trPr>
          <w:trHeight w:val="411"/>
        </w:trPr>
        <w:tc>
          <w:tcPr>
            <w:tcW w:w="2689" w:type="dxa"/>
            <w:vAlign w:val="center"/>
          </w:tcPr>
          <w:p w14:paraId="32B039AD" w14:textId="4B524E14" w:rsidR="003A24C0" w:rsidRPr="007774DE" w:rsidRDefault="003A24C0" w:rsidP="00054A0E">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Apologies:</w:t>
            </w:r>
          </w:p>
        </w:tc>
        <w:tc>
          <w:tcPr>
            <w:tcW w:w="7796" w:type="dxa"/>
            <w:vAlign w:val="center"/>
          </w:tcPr>
          <w:p w14:paraId="2DA17AA4" w14:textId="7C4DA615" w:rsidR="003A24C0" w:rsidRPr="007774DE" w:rsidRDefault="00EC45C3" w:rsidP="002D6C6A">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Dr James Forde, Prof Hazel Bryan, Prof Bob Cryan, Mr Brian Culleton, Ms Alison Jones, Dr Lianghui Lei, Prof Tim Thornton, Dr Colin Venters, Ms Katherine Greenhough</w:t>
            </w:r>
            <w:r w:rsidR="00622352" w:rsidRPr="007774DE">
              <w:rPr>
                <w:rFonts w:ascii="Arial" w:hAnsi="Arial" w:cs="Arial"/>
                <w:color w:val="1F4E79" w:themeColor="accent1" w:themeShade="80"/>
                <w:sz w:val="24"/>
                <w:szCs w:val="24"/>
              </w:rPr>
              <w:t>, Dr Sean Walton, Prof Wayne Bailey, Prof Andrew Ball, Prof Alistair Sambell, Pete Mather</w:t>
            </w:r>
          </w:p>
        </w:tc>
      </w:tr>
    </w:tbl>
    <w:p w14:paraId="7995A850" w14:textId="77777777" w:rsidR="001948A0" w:rsidRPr="009517B6" w:rsidRDefault="001948A0" w:rsidP="001948A0">
      <w:pPr>
        <w:spacing w:after="0" w:line="240" w:lineRule="auto"/>
        <w:rPr>
          <w:rFonts w:ascii="Arial" w:hAnsi="Arial" w:cs="Arial"/>
        </w:rPr>
      </w:pPr>
    </w:p>
    <w:tbl>
      <w:tblPr>
        <w:tblStyle w:val="TableGrid"/>
        <w:tblW w:w="0" w:type="auto"/>
        <w:tblLayout w:type="fixed"/>
        <w:tblLook w:val="04A0" w:firstRow="1" w:lastRow="0" w:firstColumn="1" w:lastColumn="0" w:noHBand="0" w:noVBand="1"/>
      </w:tblPr>
      <w:tblGrid>
        <w:gridCol w:w="704"/>
        <w:gridCol w:w="6946"/>
        <w:gridCol w:w="2806"/>
      </w:tblGrid>
      <w:tr w:rsidR="00054A0E" w14:paraId="12D74EE5" w14:textId="77777777" w:rsidTr="00DE22B0">
        <w:trPr>
          <w:trHeight w:val="376"/>
        </w:trPr>
        <w:tc>
          <w:tcPr>
            <w:tcW w:w="7650" w:type="dxa"/>
            <w:gridSpan w:val="2"/>
            <w:tcBorders>
              <w:bottom w:val="nil"/>
            </w:tcBorders>
            <w:shd w:val="clear" w:color="auto" w:fill="1F4E79" w:themeFill="accent1" w:themeFillShade="80"/>
          </w:tcPr>
          <w:p w14:paraId="7D66F7C6" w14:textId="77777777" w:rsidR="00054A0E" w:rsidRPr="00054A0E" w:rsidRDefault="003F3B87" w:rsidP="00874C67">
            <w:pPr>
              <w:spacing w:after="120"/>
              <w:rPr>
                <w:rFonts w:ascii="Arial" w:hAnsi="Arial" w:cs="Arial"/>
                <w:b/>
                <w:color w:val="FFFFFF" w:themeColor="background1"/>
              </w:rPr>
            </w:pPr>
            <w:r>
              <w:rPr>
                <w:rFonts w:ascii="Arial" w:hAnsi="Arial" w:cs="Arial"/>
                <w:b/>
                <w:color w:val="FFFFFF" w:themeColor="background1"/>
              </w:rPr>
              <w:t>PRELIMINARY ITEMS</w:t>
            </w:r>
          </w:p>
        </w:tc>
        <w:tc>
          <w:tcPr>
            <w:tcW w:w="2806" w:type="dxa"/>
            <w:tcBorders>
              <w:bottom w:val="nil"/>
            </w:tcBorders>
            <w:shd w:val="clear" w:color="auto" w:fill="1F4E79" w:themeFill="accent1" w:themeFillShade="80"/>
          </w:tcPr>
          <w:p w14:paraId="723C6ABA" w14:textId="1EA69D9F" w:rsidR="00054A0E" w:rsidRPr="00E10574" w:rsidRDefault="003A24C0" w:rsidP="00874C67">
            <w:pPr>
              <w:spacing w:after="120"/>
              <w:rPr>
                <w:rFonts w:ascii="Arial" w:hAnsi="Arial" w:cs="Arial"/>
                <w:b/>
                <w:color w:val="FFFFFF" w:themeColor="background1"/>
                <w:sz w:val="20"/>
                <w:szCs w:val="20"/>
              </w:rPr>
            </w:pPr>
            <w:r>
              <w:rPr>
                <w:rFonts w:ascii="Arial" w:hAnsi="Arial" w:cs="Arial"/>
                <w:b/>
                <w:color w:val="FFFFFF" w:themeColor="background1"/>
                <w:sz w:val="20"/>
                <w:szCs w:val="20"/>
              </w:rPr>
              <w:t>ACTION</w:t>
            </w:r>
          </w:p>
        </w:tc>
      </w:tr>
      <w:tr w:rsidR="004F663F" w14:paraId="678C22C2" w14:textId="77777777" w:rsidTr="00DE22B0">
        <w:trPr>
          <w:trHeight w:val="625"/>
        </w:trPr>
        <w:tc>
          <w:tcPr>
            <w:tcW w:w="10456" w:type="dxa"/>
            <w:gridSpan w:val="3"/>
            <w:tcBorders>
              <w:top w:val="nil"/>
              <w:left w:val="nil"/>
              <w:bottom w:val="nil"/>
              <w:right w:val="nil"/>
            </w:tcBorders>
            <w:vAlign w:val="center"/>
          </w:tcPr>
          <w:p w14:paraId="68FA5B44" w14:textId="7A3F0143" w:rsidR="004F663F" w:rsidRPr="007774DE" w:rsidRDefault="004F663F" w:rsidP="004F663F">
            <w:pPr>
              <w:rPr>
                <w:rFonts w:ascii="Arial" w:hAnsi="Arial" w:cs="Arial"/>
                <w:color w:val="1F4E79" w:themeColor="accent1" w:themeShade="80"/>
                <w:sz w:val="24"/>
                <w:szCs w:val="24"/>
              </w:rPr>
            </w:pPr>
            <w:r w:rsidRPr="007774DE">
              <w:rPr>
                <w:rFonts w:ascii="Arial" w:hAnsi="Arial" w:cs="Arial"/>
                <w:b/>
                <w:color w:val="1F4E79" w:themeColor="accent1" w:themeShade="80"/>
                <w:sz w:val="24"/>
                <w:szCs w:val="24"/>
              </w:rPr>
              <w:t xml:space="preserve">APOLOGIES </w:t>
            </w:r>
            <w:r w:rsidR="007D67BF" w:rsidRPr="007774DE">
              <w:rPr>
                <w:rFonts w:ascii="Arial" w:hAnsi="Arial" w:cs="Arial"/>
                <w:b/>
                <w:color w:val="1F4E79" w:themeColor="accent1" w:themeShade="80"/>
                <w:sz w:val="24"/>
                <w:szCs w:val="24"/>
              </w:rPr>
              <w:t>FOR ABSENCE</w:t>
            </w:r>
            <w:r w:rsidR="002819CD" w:rsidRPr="007774DE">
              <w:rPr>
                <w:rFonts w:ascii="Arial" w:hAnsi="Arial" w:cs="Arial"/>
                <w:b/>
                <w:color w:val="1F4E79" w:themeColor="accent1" w:themeShade="80"/>
                <w:sz w:val="24"/>
                <w:szCs w:val="24"/>
              </w:rPr>
              <w:t xml:space="preserve"> </w:t>
            </w:r>
          </w:p>
        </w:tc>
      </w:tr>
      <w:tr w:rsidR="00054A0E" w14:paraId="36239091" w14:textId="77777777" w:rsidTr="00DF32BA">
        <w:trPr>
          <w:trHeight w:val="256"/>
        </w:trPr>
        <w:tc>
          <w:tcPr>
            <w:tcW w:w="704" w:type="dxa"/>
            <w:tcBorders>
              <w:top w:val="nil"/>
              <w:left w:val="nil"/>
              <w:bottom w:val="nil"/>
              <w:right w:val="nil"/>
            </w:tcBorders>
          </w:tcPr>
          <w:p w14:paraId="061E4B44" w14:textId="77777777" w:rsidR="00054A0E" w:rsidRPr="007774DE" w:rsidRDefault="00054A0E" w:rsidP="007D67BF">
            <w:pPr>
              <w:pStyle w:val="ListParagraph"/>
              <w:numPr>
                <w:ilvl w:val="0"/>
                <w:numId w:val="6"/>
              </w:numPr>
              <w:rPr>
                <w:rFonts w:ascii="Arial" w:hAnsi="Arial" w:cs="Arial"/>
                <w:b/>
                <w:color w:val="1F4E79" w:themeColor="accent1" w:themeShade="80"/>
                <w:sz w:val="24"/>
                <w:szCs w:val="24"/>
              </w:rPr>
            </w:pPr>
          </w:p>
        </w:tc>
        <w:tc>
          <w:tcPr>
            <w:tcW w:w="6946" w:type="dxa"/>
            <w:tcBorders>
              <w:top w:val="nil"/>
              <w:left w:val="nil"/>
              <w:bottom w:val="nil"/>
              <w:right w:val="nil"/>
            </w:tcBorders>
          </w:tcPr>
          <w:p w14:paraId="533A1A90" w14:textId="77777777" w:rsidR="00E86365" w:rsidRPr="007774DE" w:rsidRDefault="00E86365" w:rsidP="001948A0">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DECLARATIONS OF INTEREST</w:t>
            </w:r>
          </w:p>
        </w:tc>
        <w:tc>
          <w:tcPr>
            <w:tcW w:w="2806" w:type="dxa"/>
            <w:tcBorders>
              <w:top w:val="nil"/>
              <w:left w:val="nil"/>
              <w:bottom w:val="nil"/>
              <w:right w:val="nil"/>
            </w:tcBorders>
          </w:tcPr>
          <w:p w14:paraId="7719DC41" w14:textId="77777777" w:rsidR="00054A0E" w:rsidRPr="007774DE" w:rsidRDefault="00054A0E" w:rsidP="00E86365">
            <w:pPr>
              <w:rPr>
                <w:rFonts w:ascii="Arial" w:hAnsi="Arial" w:cs="Arial"/>
                <w:color w:val="1F4E79" w:themeColor="accent1" w:themeShade="80"/>
                <w:sz w:val="24"/>
                <w:szCs w:val="24"/>
              </w:rPr>
            </w:pPr>
          </w:p>
        </w:tc>
      </w:tr>
      <w:tr w:rsidR="007C4A1C" w14:paraId="34422662" w14:textId="77777777" w:rsidTr="00DF32BA">
        <w:trPr>
          <w:trHeight w:val="512"/>
        </w:trPr>
        <w:tc>
          <w:tcPr>
            <w:tcW w:w="704" w:type="dxa"/>
            <w:tcBorders>
              <w:top w:val="nil"/>
              <w:left w:val="nil"/>
              <w:bottom w:val="nil"/>
              <w:right w:val="nil"/>
            </w:tcBorders>
          </w:tcPr>
          <w:p w14:paraId="0D6DD455" w14:textId="77777777" w:rsidR="007C4A1C" w:rsidRPr="007774DE" w:rsidRDefault="007C4A1C" w:rsidP="007C4A1C">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1.1</w:t>
            </w:r>
          </w:p>
        </w:tc>
        <w:tc>
          <w:tcPr>
            <w:tcW w:w="6946" w:type="dxa"/>
            <w:tcBorders>
              <w:top w:val="nil"/>
              <w:left w:val="nil"/>
              <w:bottom w:val="nil"/>
              <w:right w:val="nil"/>
            </w:tcBorders>
          </w:tcPr>
          <w:p w14:paraId="4977898F" w14:textId="7E6205AB" w:rsidR="007C4A1C" w:rsidRPr="007774DE" w:rsidRDefault="001C3447" w:rsidP="001948A0">
            <w:pPr>
              <w:rPr>
                <w:rFonts w:ascii="Arial" w:hAnsi="Arial" w:cs="Arial"/>
                <w:b/>
                <w:color w:val="1F4E79" w:themeColor="accent1" w:themeShade="80"/>
                <w:sz w:val="24"/>
                <w:szCs w:val="24"/>
              </w:rPr>
            </w:pPr>
            <w:r w:rsidRPr="007774DE">
              <w:rPr>
                <w:rFonts w:ascii="Arial" w:hAnsi="Arial" w:cs="Arial"/>
                <w:color w:val="1F4E79" w:themeColor="accent1" w:themeShade="80"/>
                <w:sz w:val="24"/>
                <w:szCs w:val="24"/>
              </w:rPr>
              <w:t>It was confirmed that m</w:t>
            </w:r>
            <w:r w:rsidR="007C4A1C" w:rsidRPr="007774DE">
              <w:rPr>
                <w:rFonts w:ascii="Arial" w:hAnsi="Arial" w:cs="Arial"/>
                <w:color w:val="1F4E79" w:themeColor="accent1" w:themeShade="80"/>
                <w:sz w:val="24"/>
                <w:szCs w:val="24"/>
              </w:rPr>
              <w:t xml:space="preserve">embers </w:t>
            </w:r>
            <w:r w:rsidRPr="007774DE">
              <w:rPr>
                <w:rFonts w:ascii="Arial" w:hAnsi="Arial" w:cs="Arial"/>
                <w:color w:val="1F4E79" w:themeColor="accent1" w:themeShade="80"/>
                <w:sz w:val="24"/>
                <w:szCs w:val="24"/>
              </w:rPr>
              <w:t xml:space="preserve">did not have </w:t>
            </w:r>
            <w:r w:rsidR="007C4A1C" w:rsidRPr="007774DE">
              <w:rPr>
                <w:rFonts w:ascii="Arial" w:hAnsi="Arial" w:cs="Arial"/>
                <w:color w:val="1F4E79" w:themeColor="accent1" w:themeShade="80"/>
                <w:sz w:val="24"/>
                <w:szCs w:val="24"/>
              </w:rPr>
              <w:t>any potential conflicts of interest arising from the meeting agenda.</w:t>
            </w:r>
          </w:p>
        </w:tc>
        <w:tc>
          <w:tcPr>
            <w:tcW w:w="2806" w:type="dxa"/>
            <w:tcBorders>
              <w:top w:val="nil"/>
              <w:left w:val="nil"/>
              <w:bottom w:val="nil"/>
              <w:right w:val="nil"/>
            </w:tcBorders>
          </w:tcPr>
          <w:p w14:paraId="09E51423" w14:textId="77777777" w:rsidR="007C4A1C" w:rsidRPr="007774DE" w:rsidRDefault="007C4A1C" w:rsidP="00E86365">
            <w:pPr>
              <w:rPr>
                <w:rFonts w:ascii="Arial" w:hAnsi="Arial" w:cs="Arial"/>
                <w:color w:val="1F4E79" w:themeColor="accent1" w:themeShade="80"/>
                <w:sz w:val="24"/>
                <w:szCs w:val="24"/>
              </w:rPr>
            </w:pPr>
          </w:p>
        </w:tc>
      </w:tr>
      <w:tr w:rsidR="0062723E" w14:paraId="6E3EC0D7" w14:textId="77777777" w:rsidTr="00DF32BA">
        <w:trPr>
          <w:trHeight w:val="241"/>
        </w:trPr>
        <w:tc>
          <w:tcPr>
            <w:tcW w:w="704" w:type="dxa"/>
            <w:tcBorders>
              <w:top w:val="nil"/>
              <w:left w:val="nil"/>
              <w:bottom w:val="nil"/>
              <w:right w:val="nil"/>
            </w:tcBorders>
          </w:tcPr>
          <w:p w14:paraId="68C742C2" w14:textId="77777777" w:rsidR="0062723E" w:rsidRPr="007774DE" w:rsidRDefault="0062723E" w:rsidP="0062723E">
            <w:pPr>
              <w:pStyle w:val="ListParagraph"/>
              <w:ind w:left="360"/>
              <w:rPr>
                <w:rFonts w:ascii="Arial" w:hAnsi="Arial" w:cs="Arial"/>
                <w:b/>
                <w:color w:val="1F4E79" w:themeColor="accent1" w:themeShade="80"/>
                <w:sz w:val="24"/>
                <w:szCs w:val="24"/>
              </w:rPr>
            </w:pPr>
          </w:p>
        </w:tc>
        <w:tc>
          <w:tcPr>
            <w:tcW w:w="6946" w:type="dxa"/>
            <w:tcBorders>
              <w:top w:val="nil"/>
              <w:left w:val="nil"/>
              <w:bottom w:val="nil"/>
              <w:right w:val="nil"/>
            </w:tcBorders>
          </w:tcPr>
          <w:p w14:paraId="3F58FF6B" w14:textId="77777777" w:rsidR="0062723E" w:rsidRPr="007774DE" w:rsidRDefault="0062723E" w:rsidP="001948A0">
            <w:pPr>
              <w:rPr>
                <w:rFonts w:ascii="Arial" w:hAnsi="Arial" w:cs="Arial"/>
                <w:b/>
                <w:color w:val="1F4E79" w:themeColor="accent1" w:themeShade="80"/>
                <w:sz w:val="24"/>
                <w:szCs w:val="24"/>
              </w:rPr>
            </w:pPr>
          </w:p>
        </w:tc>
        <w:tc>
          <w:tcPr>
            <w:tcW w:w="2806" w:type="dxa"/>
            <w:tcBorders>
              <w:top w:val="nil"/>
              <w:left w:val="nil"/>
              <w:bottom w:val="nil"/>
              <w:right w:val="nil"/>
            </w:tcBorders>
          </w:tcPr>
          <w:p w14:paraId="544B77C6" w14:textId="77777777" w:rsidR="0062723E" w:rsidRPr="007774DE" w:rsidRDefault="0062723E" w:rsidP="00E86365">
            <w:pPr>
              <w:rPr>
                <w:rFonts w:ascii="Arial" w:hAnsi="Arial" w:cs="Arial"/>
                <w:color w:val="1F4E79" w:themeColor="accent1" w:themeShade="80"/>
                <w:sz w:val="24"/>
                <w:szCs w:val="24"/>
              </w:rPr>
            </w:pPr>
          </w:p>
        </w:tc>
      </w:tr>
      <w:tr w:rsidR="00DD69C7" w14:paraId="492913A9" w14:textId="77777777" w:rsidTr="00DF32BA">
        <w:trPr>
          <w:trHeight w:val="256"/>
        </w:trPr>
        <w:tc>
          <w:tcPr>
            <w:tcW w:w="704" w:type="dxa"/>
            <w:tcBorders>
              <w:top w:val="nil"/>
              <w:left w:val="nil"/>
              <w:bottom w:val="nil"/>
              <w:right w:val="nil"/>
            </w:tcBorders>
          </w:tcPr>
          <w:p w14:paraId="7878F71B" w14:textId="77777777" w:rsidR="00DD69C7" w:rsidRPr="007774DE" w:rsidRDefault="00DD69C7" w:rsidP="00DD69C7">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2.</w:t>
            </w:r>
          </w:p>
        </w:tc>
        <w:tc>
          <w:tcPr>
            <w:tcW w:w="6946" w:type="dxa"/>
            <w:tcBorders>
              <w:top w:val="nil"/>
              <w:left w:val="nil"/>
              <w:bottom w:val="nil"/>
              <w:right w:val="nil"/>
            </w:tcBorders>
          </w:tcPr>
          <w:p w14:paraId="53ACC284" w14:textId="77777777" w:rsidR="00DD69C7" w:rsidRPr="007774DE" w:rsidRDefault="00DD69C7" w:rsidP="00DD69C7">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MINUTES</w:t>
            </w:r>
          </w:p>
        </w:tc>
        <w:tc>
          <w:tcPr>
            <w:tcW w:w="2806" w:type="dxa"/>
            <w:tcBorders>
              <w:top w:val="nil"/>
              <w:left w:val="nil"/>
              <w:bottom w:val="nil"/>
              <w:right w:val="nil"/>
            </w:tcBorders>
          </w:tcPr>
          <w:p w14:paraId="25AF1799" w14:textId="77777777" w:rsidR="00DD69C7" w:rsidRPr="007774DE" w:rsidRDefault="00DD69C7" w:rsidP="00DD69C7">
            <w:pPr>
              <w:rPr>
                <w:rFonts w:ascii="Arial" w:hAnsi="Arial" w:cs="Arial"/>
                <w:color w:val="1F4E79" w:themeColor="accent1" w:themeShade="80"/>
                <w:sz w:val="24"/>
                <w:szCs w:val="24"/>
              </w:rPr>
            </w:pPr>
          </w:p>
        </w:tc>
      </w:tr>
      <w:tr w:rsidR="00DD69C7" w14:paraId="717D212D" w14:textId="77777777" w:rsidTr="00DF32BA">
        <w:trPr>
          <w:trHeight w:val="256"/>
        </w:trPr>
        <w:tc>
          <w:tcPr>
            <w:tcW w:w="704" w:type="dxa"/>
            <w:tcBorders>
              <w:top w:val="nil"/>
              <w:left w:val="nil"/>
              <w:bottom w:val="nil"/>
              <w:right w:val="nil"/>
            </w:tcBorders>
          </w:tcPr>
          <w:p w14:paraId="47E41462" w14:textId="77777777" w:rsidR="00DD69C7" w:rsidRPr="007774DE" w:rsidRDefault="00DD69C7" w:rsidP="000A1018">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2.1</w:t>
            </w:r>
          </w:p>
        </w:tc>
        <w:tc>
          <w:tcPr>
            <w:tcW w:w="6946" w:type="dxa"/>
            <w:tcBorders>
              <w:top w:val="nil"/>
              <w:left w:val="nil"/>
              <w:bottom w:val="nil"/>
              <w:right w:val="nil"/>
            </w:tcBorders>
          </w:tcPr>
          <w:p w14:paraId="13EED337" w14:textId="2ACD2BC4" w:rsidR="001C3447" w:rsidRPr="007774DE" w:rsidRDefault="001C3447" w:rsidP="001B4430">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 xml:space="preserve">The Committee </w:t>
            </w:r>
            <w:r w:rsidR="00DD69C7" w:rsidRPr="007774DE">
              <w:rPr>
                <w:rFonts w:ascii="Arial" w:hAnsi="Arial" w:cs="Arial"/>
                <w:color w:val="1F4E79" w:themeColor="accent1" w:themeShade="80"/>
                <w:sz w:val="24"/>
                <w:szCs w:val="24"/>
              </w:rPr>
              <w:t>approve</w:t>
            </w:r>
            <w:r w:rsidRPr="007774DE">
              <w:rPr>
                <w:rFonts w:ascii="Arial" w:hAnsi="Arial" w:cs="Arial"/>
                <w:color w:val="1F4E79" w:themeColor="accent1" w:themeShade="80"/>
                <w:sz w:val="24"/>
                <w:szCs w:val="24"/>
              </w:rPr>
              <w:t>d</w:t>
            </w:r>
            <w:r w:rsidR="00DD69C7" w:rsidRPr="007774DE">
              <w:rPr>
                <w:rFonts w:ascii="Arial" w:hAnsi="Arial" w:cs="Arial"/>
                <w:color w:val="1F4E79" w:themeColor="accent1" w:themeShade="80"/>
                <w:sz w:val="24"/>
                <w:szCs w:val="24"/>
              </w:rPr>
              <w:t xml:space="preserve"> </w:t>
            </w:r>
            <w:r w:rsidR="0062723E" w:rsidRPr="007774DE">
              <w:rPr>
                <w:rFonts w:ascii="Arial" w:hAnsi="Arial" w:cs="Arial"/>
                <w:color w:val="1F4E79" w:themeColor="accent1" w:themeShade="80"/>
                <w:sz w:val="24"/>
                <w:szCs w:val="24"/>
              </w:rPr>
              <w:t xml:space="preserve">the </w:t>
            </w:r>
            <w:r w:rsidR="00DD69C7" w:rsidRPr="007774DE">
              <w:rPr>
                <w:rFonts w:ascii="Arial" w:hAnsi="Arial" w:cs="Arial"/>
                <w:color w:val="1F4E79" w:themeColor="accent1" w:themeShade="80"/>
                <w:sz w:val="24"/>
                <w:szCs w:val="24"/>
              </w:rPr>
              <w:t xml:space="preserve">minutes of </w:t>
            </w:r>
            <w:r w:rsidR="0062723E" w:rsidRPr="007774DE">
              <w:rPr>
                <w:rFonts w:ascii="Arial" w:hAnsi="Arial" w:cs="Arial"/>
                <w:color w:val="1F4E79" w:themeColor="accent1" w:themeShade="80"/>
                <w:sz w:val="24"/>
                <w:szCs w:val="24"/>
              </w:rPr>
              <w:t xml:space="preserve">the </w:t>
            </w:r>
            <w:r w:rsidR="00DD69C7" w:rsidRPr="007774DE">
              <w:rPr>
                <w:rFonts w:ascii="Arial" w:hAnsi="Arial" w:cs="Arial"/>
                <w:color w:val="1F4E79" w:themeColor="accent1" w:themeShade="80"/>
                <w:sz w:val="24"/>
                <w:szCs w:val="24"/>
              </w:rPr>
              <w:t xml:space="preserve">meeting held </w:t>
            </w:r>
            <w:r w:rsidR="00B95DFD" w:rsidRPr="007774DE">
              <w:rPr>
                <w:rFonts w:ascii="Arial" w:hAnsi="Arial" w:cs="Arial"/>
                <w:color w:val="1F4E79" w:themeColor="accent1" w:themeShade="80"/>
                <w:sz w:val="24"/>
                <w:szCs w:val="24"/>
              </w:rPr>
              <w:t>16 March</w:t>
            </w:r>
            <w:r w:rsidR="00E95BFF" w:rsidRPr="007774DE">
              <w:rPr>
                <w:rFonts w:ascii="Arial" w:hAnsi="Arial" w:cs="Arial"/>
                <w:color w:val="1F4E79" w:themeColor="accent1" w:themeShade="80"/>
                <w:sz w:val="24"/>
                <w:szCs w:val="24"/>
              </w:rPr>
              <w:t xml:space="preserve"> 2022</w:t>
            </w:r>
          </w:p>
        </w:tc>
        <w:tc>
          <w:tcPr>
            <w:tcW w:w="2806" w:type="dxa"/>
            <w:tcBorders>
              <w:top w:val="nil"/>
              <w:left w:val="nil"/>
              <w:bottom w:val="nil"/>
              <w:right w:val="nil"/>
            </w:tcBorders>
          </w:tcPr>
          <w:p w14:paraId="4C298FC4" w14:textId="04B4E54B" w:rsidR="00DD69C7" w:rsidRPr="007774DE" w:rsidRDefault="004C0462" w:rsidP="00584BAA">
            <w:pPr>
              <w:jc w:val="right"/>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UTLC_2022_03_16_M</w:t>
            </w:r>
          </w:p>
        </w:tc>
      </w:tr>
      <w:tr w:rsidR="00DD69C7" w14:paraId="604A1E10" w14:textId="77777777" w:rsidTr="00DF32BA">
        <w:trPr>
          <w:trHeight w:val="256"/>
        </w:trPr>
        <w:tc>
          <w:tcPr>
            <w:tcW w:w="704" w:type="dxa"/>
            <w:tcBorders>
              <w:top w:val="nil"/>
              <w:left w:val="nil"/>
              <w:bottom w:val="nil"/>
              <w:right w:val="nil"/>
            </w:tcBorders>
          </w:tcPr>
          <w:p w14:paraId="686EA66B" w14:textId="77777777" w:rsidR="00DD69C7" w:rsidRPr="007774DE" w:rsidRDefault="00DD69C7" w:rsidP="000A1018">
            <w:pPr>
              <w:rPr>
                <w:rFonts w:ascii="Arial" w:hAnsi="Arial" w:cs="Arial"/>
                <w:b/>
                <w:color w:val="1F4E79" w:themeColor="accent1" w:themeShade="80"/>
                <w:sz w:val="24"/>
                <w:szCs w:val="24"/>
              </w:rPr>
            </w:pPr>
          </w:p>
        </w:tc>
        <w:tc>
          <w:tcPr>
            <w:tcW w:w="6946" w:type="dxa"/>
            <w:tcBorders>
              <w:top w:val="nil"/>
              <w:left w:val="nil"/>
              <w:bottom w:val="nil"/>
              <w:right w:val="nil"/>
            </w:tcBorders>
          </w:tcPr>
          <w:p w14:paraId="77F34670" w14:textId="77777777" w:rsidR="00DD69C7" w:rsidRDefault="00DD69C7" w:rsidP="00603260">
            <w:pPr>
              <w:rPr>
                <w:rFonts w:ascii="Arial" w:hAnsi="Arial" w:cs="Arial"/>
              </w:rPr>
            </w:pPr>
          </w:p>
        </w:tc>
        <w:tc>
          <w:tcPr>
            <w:tcW w:w="2806" w:type="dxa"/>
            <w:tcBorders>
              <w:top w:val="nil"/>
              <w:left w:val="nil"/>
              <w:bottom w:val="nil"/>
              <w:right w:val="nil"/>
            </w:tcBorders>
          </w:tcPr>
          <w:p w14:paraId="4AE22249" w14:textId="77777777" w:rsidR="00DD69C7" w:rsidRPr="00E10574" w:rsidRDefault="00DD69C7" w:rsidP="00584BAA">
            <w:pPr>
              <w:jc w:val="right"/>
              <w:rPr>
                <w:rFonts w:ascii="Arial" w:hAnsi="Arial" w:cs="Arial"/>
                <w:sz w:val="20"/>
                <w:szCs w:val="20"/>
              </w:rPr>
            </w:pPr>
          </w:p>
        </w:tc>
      </w:tr>
      <w:tr w:rsidR="00DD69C7" w14:paraId="3E3656D0" w14:textId="77777777" w:rsidTr="00DF32BA">
        <w:trPr>
          <w:trHeight w:val="256"/>
        </w:trPr>
        <w:tc>
          <w:tcPr>
            <w:tcW w:w="704" w:type="dxa"/>
            <w:tcBorders>
              <w:top w:val="nil"/>
              <w:left w:val="nil"/>
              <w:bottom w:val="nil"/>
              <w:right w:val="nil"/>
            </w:tcBorders>
          </w:tcPr>
          <w:p w14:paraId="167039F6" w14:textId="77777777" w:rsidR="00DD69C7" w:rsidRPr="007774DE" w:rsidRDefault="00DD69C7" w:rsidP="000A1018">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3.</w:t>
            </w:r>
          </w:p>
        </w:tc>
        <w:tc>
          <w:tcPr>
            <w:tcW w:w="6946" w:type="dxa"/>
            <w:tcBorders>
              <w:top w:val="nil"/>
              <w:left w:val="nil"/>
              <w:bottom w:val="nil"/>
              <w:right w:val="nil"/>
            </w:tcBorders>
          </w:tcPr>
          <w:p w14:paraId="6A6C464A" w14:textId="77777777" w:rsidR="00DD69C7" w:rsidRPr="007774DE" w:rsidRDefault="00DD69C7" w:rsidP="00603260">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MATTERS ARISING</w:t>
            </w:r>
          </w:p>
        </w:tc>
        <w:tc>
          <w:tcPr>
            <w:tcW w:w="2806" w:type="dxa"/>
            <w:tcBorders>
              <w:top w:val="nil"/>
              <w:left w:val="nil"/>
              <w:bottom w:val="nil"/>
              <w:right w:val="nil"/>
            </w:tcBorders>
          </w:tcPr>
          <w:p w14:paraId="56D1805D" w14:textId="77777777" w:rsidR="00DD69C7" w:rsidRPr="00E10574" w:rsidRDefault="00DD69C7" w:rsidP="00584BAA">
            <w:pPr>
              <w:jc w:val="right"/>
              <w:rPr>
                <w:rFonts w:ascii="Arial" w:hAnsi="Arial" w:cs="Arial"/>
                <w:sz w:val="20"/>
                <w:szCs w:val="20"/>
              </w:rPr>
            </w:pPr>
          </w:p>
        </w:tc>
      </w:tr>
      <w:tr w:rsidR="00DD69C7" w14:paraId="54D9DB44" w14:textId="77777777" w:rsidTr="00DF32BA">
        <w:trPr>
          <w:trHeight w:val="1010"/>
        </w:trPr>
        <w:tc>
          <w:tcPr>
            <w:tcW w:w="704" w:type="dxa"/>
            <w:tcBorders>
              <w:top w:val="nil"/>
              <w:left w:val="nil"/>
              <w:bottom w:val="nil"/>
              <w:right w:val="nil"/>
            </w:tcBorders>
          </w:tcPr>
          <w:p w14:paraId="45AD3A09" w14:textId="77777777" w:rsidR="00DD69C7" w:rsidRPr="007774DE" w:rsidRDefault="00DD69C7" w:rsidP="000A1018">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3.1</w:t>
            </w:r>
          </w:p>
        </w:tc>
        <w:tc>
          <w:tcPr>
            <w:tcW w:w="6946" w:type="dxa"/>
            <w:tcBorders>
              <w:top w:val="nil"/>
              <w:left w:val="nil"/>
              <w:bottom w:val="nil"/>
              <w:right w:val="nil"/>
            </w:tcBorders>
          </w:tcPr>
          <w:p w14:paraId="25276CEC" w14:textId="77777777" w:rsidR="00DD69C7" w:rsidRPr="007774DE" w:rsidRDefault="00B90323" w:rsidP="00603260">
            <w:pPr>
              <w:rPr>
                <w:rFonts w:ascii="Arial" w:hAnsi="Arial" w:cs="Arial"/>
                <w:b/>
                <w:bCs/>
                <w:color w:val="1F4E79" w:themeColor="accent1" w:themeShade="80"/>
                <w:sz w:val="24"/>
                <w:szCs w:val="24"/>
              </w:rPr>
            </w:pPr>
            <w:r w:rsidRPr="007774DE">
              <w:rPr>
                <w:rFonts w:ascii="Arial" w:hAnsi="Arial" w:cs="Arial"/>
                <w:b/>
                <w:bCs/>
                <w:color w:val="1F4E79" w:themeColor="accent1" w:themeShade="80"/>
                <w:sz w:val="24"/>
                <w:szCs w:val="24"/>
              </w:rPr>
              <w:t>Membership (Minute reference 4.1)</w:t>
            </w:r>
          </w:p>
          <w:p w14:paraId="21984842" w14:textId="3C8034BF" w:rsidR="005309AD" w:rsidRPr="007774DE" w:rsidRDefault="00574B13" w:rsidP="00603260">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It was confirmed r</w:t>
            </w:r>
            <w:r w:rsidR="005309AD" w:rsidRPr="007774DE">
              <w:rPr>
                <w:rFonts w:ascii="Arial" w:hAnsi="Arial" w:cs="Arial"/>
                <w:color w:val="1F4E79" w:themeColor="accent1" w:themeShade="80"/>
                <w:sz w:val="24"/>
                <w:szCs w:val="24"/>
              </w:rPr>
              <w:t>epresentation for</w:t>
            </w:r>
            <w:r w:rsidRPr="007774DE">
              <w:rPr>
                <w:rFonts w:ascii="Arial" w:hAnsi="Arial" w:cs="Arial"/>
                <w:color w:val="1F4E79" w:themeColor="accent1" w:themeShade="80"/>
                <w:sz w:val="24"/>
                <w:szCs w:val="24"/>
              </w:rPr>
              <w:t xml:space="preserve"> the</w:t>
            </w:r>
            <w:r w:rsidR="005309AD" w:rsidRPr="007774DE">
              <w:rPr>
                <w:rFonts w:ascii="Arial" w:hAnsi="Arial" w:cs="Arial"/>
                <w:color w:val="1F4E79" w:themeColor="accent1" w:themeShade="80"/>
                <w:sz w:val="24"/>
                <w:szCs w:val="24"/>
              </w:rPr>
              <w:t xml:space="preserve"> ASIS </w:t>
            </w:r>
            <w:r w:rsidR="00936882" w:rsidRPr="007774DE">
              <w:rPr>
                <w:rFonts w:ascii="Arial" w:hAnsi="Arial" w:cs="Arial"/>
                <w:color w:val="1F4E79" w:themeColor="accent1" w:themeShade="80"/>
                <w:sz w:val="24"/>
                <w:szCs w:val="24"/>
              </w:rPr>
              <w:t>D</w:t>
            </w:r>
            <w:r w:rsidR="005309AD" w:rsidRPr="007774DE">
              <w:rPr>
                <w:rFonts w:ascii="Arial" w:hAnsi="Arial" w:cs="Arial"/>
                <w:color w:val="1F4E79" w:themeColor="accent1" w:themeShade="80"/>
                <w:sz w:val="24"/>
                <w:szCs w:val="24"/>
              </w:rPr>
              <w:t xml:space="preserve">evelopment Group </w:t>
            </w:r>
            <w:r w:rsidR="00936882" w:rsidRPr="007774DE">
              <w:rPr>
                <w:rFonts w:ascii="Arial" w:hAnsi="Arial" w:cs="Arial"/>
                <w:color w:val="1F4E79" w:themeColor="accent1" w:themeShade="80"/>
                <w:sz w:val="24"/>
                <w:szCs w:val="24"/>
              </w:rPr>
              <w:t xml:space="preserve">has been </w:t>
            </w:r>
            <w:r w:rsidR="005309AD" w:rsidRPr="007774DE">
              <w:rPr>
                <w:rFonts w:ascii="Arial" w:hAnsi="Arial" w:cs="Arial"/>
                <w:color w:val="1F4E79" w:themeColor="accent1" w:themeShade="80"/>
                <w:sz w:val="24"/>
                <w:szCs w:val="24"/>
              </w:rPr>
              <w:t xml:space="preserve">removed from </w:t>
            </w:r>
            <w:r w:rsidR="00936882" w:rsidRPr="007774DE">
              <w:rPr>
                <w:rFonts w:ascii="Arial" w:hAnsi="Arial" w:cs="Arial"/>
                <w:color w:val="1F4E79" w:themeColor="accent1" w:themeShade="80"/>
                <w:sz w:val="24"/>
                <w:szCs w:val="24"/>
              </w:rPr>
              <w:t xml:space="preserve">the </w:t>
            </w:r>
            <w:r w:rsidR="005309AD" w:rsidRPr="007774DE">
              <w:rPr>
                <w:rFonts w:ascii="Arial" w:hAnsi="Arial" w:cs="Arial"/>
                <w:color w:val="1F4E79" w:themeColor="accent1" w:themeShade="80"/>
                <w:sz w:val="24"/>
                <w:szCs w:val="24"/>
              </w:rPr>
              <w:t xml:space="preserve">membership. </w:t>
            </w:r>
            <w:r w:rsidRPr="007774DE">
              <w:rPr>
                <w:rFonts w:ascii="Arial" w:hAnsi="Arial" w:cs="Arial"/>
                <w:color w:val="1F4E79" w:themeColor="accent1" w:themeShade="80"/>
                <w:sz w:val="24"/>
                <w:szCs w:val="24"/>
              </w:rPr>
              <w:t>In future meetings, i</w:t>
            </w:r>
            <w:r w:rsidR="005309AD" w:rsidRPr="007774DE">
              <w:rPr>
                <w:rFonts w:ascii="Arial" w:hAnsi="Arial" w:cs="Arial"/>
                <w:color w:val="1F4E79" w:themeColor="accent1" w:themeShade="80"/>
                <w:sz w:val="24"/>
                <w:szCs w:val="24"/>
              </w:rPr>
              <w:t>f required for an Agenda item an appropriate ASIS manager would be invited.</w:t>
            </w:r>
          </w:p>
        </w:tc>
        <w:tc>
          <w:tcPr>
            <w:tcW w:w="2806" w:type="dxa"/>
            <w:tcBorders>
              <w:top w:val="nil"/>
              <w:left w:val="nil"/>
              <w:bottom w:val="nil"/>
              <w:right w:val="nil"/>
            </w:tcBorders>
          </w:tcPr>
          <w:p w14:paraId="6A18CF69" w14:textId="47FFB2DE" w:rsidR="00DD69C7" w:rsidRPr="00E10574" w:rsidRDefault="00DD69C7" w:rsidP="00584BAA">
            <w:pPr>
              <w:jc w:val="right"/>
              <w:rPr>
                <w:rFonts w:ascii="Arial" w:hAnsi="Arial" w:cs="Arial"/>
                <w:sz w:val="20"/>
                <w:szCs w:val="20"/>
              </w:rPr>
            </w:pPr>
          </w:p>
        </w:tc>
      </w:tr>
      <w:tr w:rsidR="000E4125" w14:paraId="14CC0E78" w14:textId="77777777" w:rsidTr="00DF32BA">
        <w:trPr>
          <w:trHeight w:val="512"/>
        </w:trPr>
        <w:tc>
          <w:tcPr>
            <w:tcW w:w="704" w:type="dxa"/>
            <w:tcBorders>
              <w:top w:val="nil"/>
              <w:left w:val="nil"/>
              <w:bottom w:val="nil"/>
              <w:right w:val="nil"/>
            </w:tcBorders>
          </w:tcPr>
          <w:p w14:paraId="44BD9DAA" w14:textId="77777777" w:rsidR="000E4125" w:rsidRPr="007774DE" w:rsidRDefault="000E4125" w:rsidP="000A1018">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3.2</w:t>
            </w:r>
          </w:p>
        </w:tc>
        <w:tc>
          <w:tcPr>
            <w:tcW w:w="6946" w:type="dxa"/>
            <w:tcBorders>
              <w:top w:val="nil"/>
              <w:left w:val="nil"/>
              <w:bottom w:val="nil"/>
              <w:right w:val="nil"/>
            </w:tcBorders>
          </w:tcPr>
          <w:p w14:paraId="5BD0FF6D" w14:textId="77777777" w:rsidR="000E4125" w:rsidRPr="007774DE" w:rsidRDefault="005309AD" w:rsidP="000E4125">
            <w:pPr>
              <w:rPr>
                <w:rFonts w:ascii="Arial" w:hAnsi="Arial" w:cs="Arial"/>
                <w:b/>
                <w:bCs/>
                <w:color w:val="1F4E79" w:themeColor="accent1" w:themeShade="80"/>
                <w:sz w:val="24"/>
                <w:szCs w:val="24"/>
              </w:rPr>
            </w:pPr>
            <w:r w:rsidRPr="007774DE">
              <w:rPr>
                <w:rFonts w:ascii="Arial" w:hAnsi="Arial" w:cs="Arial"/>
                <w:b/>
                <w:bCs/>
                <w:color w:val="1F4E79" w:themeColor="accent1" w:themeShade="80"/>
                <w:sz w:val="24"/>
                <w:szCs w:val="24"/>
              </w:rPr>
              <w:t>SEPD Module Handbook on Brightspace (Minute Reference 5.1)</w:t>
            </w:r>
          </w:p>
          <w:p w14:paraId="3956540E" w14:textId="647BDFCD" w:rsidR="005309AD" w:rsidRPr="007774DE" w:rsidRDefault="0058756C" w:rsidP="000E4125">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 xml:space="preserve">It was noted </w:t>
            </w:r>
            <w:r w:rsidR="005309AD" w:rsidRPr="007774DE">
              <w:rPr>
                <w:rFonts w:ascii="Arial" w:hAnsi="Arial" w:cs="Arial"/>
                <w:color w:val="1F4E79" w:themeColor="accent1" w:themeShade="80"/>
                <w:sz w:val="24"/>
                <w:szCs w:val="24"/>
              </w:rPr>
              <w:t xml:space="preserve">Dr Liz Bennett </w:t>
            </w:r>
            <w:r w:rsidR="00657B28" w:rsidRPr="007774DE">
              <w:rPr>
                <w:rFonts w:ascii="Arial" w:hAnsi="Arial" w:cs="Arial"/>
                <w:color w:val="1F4E79" w:themeColor="accent1" w:themeShade="80"/>
                <w:sz w:val="24"/>
                <w:szCs w:val="24"/>
              </w:rPr>
              <w:t>confirmed this item had been actioned.</w:t>
            </w:r>
          </w:p>
        </w:tc>
        <w:tc>
          <w:tcPr>
            <w:tcW w:w="2806" w:type="dxa"/>
            <w:tcBorders>
              <w:top w:val="nil"/>
              <w:left w:val="nil"/>
              <w:bottom w:val="nil"/>
              <w:right w:val="nil"/>
            </w:tcBorders>
          </w:tcPr>
          <w:p w14:paraId="3FE379FF" w14:textId="377DC74A" w:rsidR="000E4125" w:rsidRPr="00E10574" w:rsidRDefault="000E4125" w:rsidP="00584BAA">
            <w:pPr>
              <w:jc w:val="right"/>
              <w:rPr>
                <w:rFonts w:ascii="Arial" w:hAnsi="Arial" w:cs="Arial"/>
                <w:sz w:val="20"/>
                <w:szCs w:val="20"/>
              </w:rPr>
            </w:pPr>
          </w:p>
        </w:tc>
      </w:tr>
      <w:tr w:rsidR="00DD69C7" w14:paraId="28C0B187" w14:textId="77777777" w:rsidTr="00DF32BA">
        <w:trPr>
          <w:trHeight w:val="768"/>
        </w:trPr>
        <w:tc>
          <w:tcPr>
            <w:tcW w:w="704" w:type="dxa"/>
            <w:tcBorders>
              <w:top w:val="nil"/>
              <w:left w:val="nil"/>
              <w:bottom w:val="nil"/>
              <w:right w:val="nil"/>
            </w:tcBorders>
          </w:tcPr>
          <w:p w14:paraId="7353DB78" w14:textId="77777777" w:rsidR="00DD69C7" w:rsidRPr="007774DE" w:rsidRDefault="00767BCC" w:rsidP="000A1018">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3.3</w:t>
            </w:r>
          </w:p>
        </w:tc>
        <w:tc>
          <w:tcPr>
            <w:tcW w:w="6946" w:type="dxa"/>
            <w:tcBorders>
              <w:top w:val="nil"/>
              <w:left w:val="nil"/>
              <w:bottom w:val="nil"/>
              <w:right w:val="nil"/>
            </w:tcBorders>
          </w:tcPr>
          <w:p w14:paraId="7668FB95" w14:textId="5D246A92" w:rsidR="00936882" w:rsidRPr="007774DE" w:rsidRDefault="00936882" w:rsidP="00936882">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Thematic reviews for 2022/23 (Minute Reference 6.1)</w:t>
            </w:r>
          </w:p>
          <w:p w14:paraId="73178E8A" w14:textId="2A1CD5D7" w:rsidR="000E4125" w:rsidRPr="007774DE" w:rsidRDefault="00936882" w:rsidP="00936882">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 xml:space="preserve">Members were invited to suggest topics for a potential thematic review to be held in the 2022/23 academic year. </w:t>
            </w:r>
            <w:r w:rsidR="00C57CC3" w:rsidRPr="007774DE">
              <w:rPr>
                <w:rFonts w:ascii="Arial" w:hAnsi="Arial" w:cs="Arial"/>
                <w:color w:val="1F4E79" w:themeColor="accent1" w:themeShade="80"/>
                <w:sz w:val="24"/>
                <w:szCs w:val="24"/>
              </w:rPr>
              <w:t>None received, see item 12.1</w:t>
            </w:r>
          </w:p>
        </w:tc>
        <w:tc>
          <w:tcPr>
            <w:tcW w:w="2806" w:type="dxa"/>
            <w:tcBorders>
              <w:top w:val="nil"/>
              <w:left w:val="nil"/>
              <w:bottom w:val="nil"/>
              <w:right w:val="nil"/>
            </w:tcBorders>
          </w:tcPr>
          <w:p w14:paraId="69C43F63" w14:textId="6478E04A" w:rsidR="00DD69C7" w:rsidRPr="00E10574" w:rsidRDefault="00DD69C7" w:rsidP="00584BAA">
            <w:pPr>
              <w:jc w:val="right"/>
              <w:rPr>
                <w:rFonts w:ascii="Arial" w:hAnsi="Arial" w:cs="Arial"/>
                <w:sz w:val="20"/>
                <w:szCs w:val="20"/>
              </w:rPr>
            </w:pPr>
          </w:p>
        </w:tc>
      </w:tr>
      <w:tr w:rsidR="00DD69C7" w14:paraId="0EF5F82B" w14:textId="77777777" w:rsidTr="00DF32BA">
        <w:trPr>
          <w:trHeight w:val="1010"/>
        </w:trPr>
        <w:tc>
          <w:tcPr>
            <w:tcW w:w="704" w:type="dxa"/>
            <w:tcBorders>
              <w:top w:val="nil"/>
              <w:left w:val="nil"/>
              <w:bottom w:val="nil"/>
              <w:right w:val="nil"/>
            </w:tcBorders>
          </w:tcPr>
          <w:p w14:paraId="0367457D" w14:textId="77777777" w:rsidR="00DD69C7" w:rsidRPr="007774DE" w:rsidRDefault="00767BCC" w:rsidP="000A1018">
            <w:pPr>
              <w:rPr>
                <w:rFonts w:ascii="Arial" w:hAnsi="Arial" w:cs="Arial"/>
                <w:b/>
                <w:color w:val="1F4E79" w:themeColor="accent1" w:themeShade="80"/>
                <w:sz w:val="24"/>
                <w:szCs w:val="24"/>
              </w:rPr>
            </w:pPr>
            <w:r w:rsidRPr="007774DE">
              <w:rPr>
                <w:rFonts w:ascii="Arial" w:hAnsi="Arial" w:cs="Arial"/>
                <w:b/>
                <w:color w:val="1F4E79" w:themeColor="accent1" w:themeShade="80"/>
                <w:sz w:val="24"/>
                <w:szCs w:val="24"/>
              </w:rPr>
              <w:t>3.4</w:t>
            </w:r>
          </w:p>
        </w:tc>
        <w:tc>
          <w:tcPr>
            <w:tcW w:w="6946" w:type="dxa"/>
            <w:tcBorders>
              <w:top w:val="nil"/>
              <w:left w:val="nil"/>
              <w:bottom w:val="nil"/>
              <w:right w:val="nil"/>
            </w:tcBorders>
          </w:tcPr>
          <w:p w14:paraId="17EC2189" w14:textId="77777777" w:rsidR="00DD69C7" w:rsidRPr="007774DE" w:rsidRDefault="00936882" w:rsidP="00603260">
            <w:pPr>
              <w:rPr>
                <w:rFonts w:ascii="Arial" w:hAnsi="Arial" w:cs="Arial"/>
                <w:b/>
                <w:bCs/>
                <w:color w:val="1F4E79" w:themeColor="accent1" w:themeShade="80"/>
                <w:sz w:val="24"/>
                <w:szCs w:val="24"/>
              </w:rPr>
            </w:pPr>
            <w:r w:rsidRPr="007774DE">
              <w:rPr>
                <w:rFonts w:ascii="Arial" w:hAnsi="Arial" w:cs="Arial"/>
                <w:b/>
                <w:bCs/>
                <w:color w:val="1F4E79" w:themeColor="accent1" w:themeShade="80"/>
                <w:sz w:val="24"/>
                <w:szCs w:val="24"/>
              </w:rPr>
              <w:t>Peer Observation of Teaching (Minute Reference 10.1)</w:t>
            </w:r>
          </w:p>
          <w:p w14:paraId="2BE17DCA" w14:textId="33A340BD" w:rsidR="00936882" w:rsidRPr="007774DE" w:rsidRDefault="00936882" w:rsidP="00603260">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It was noted that summaries of outcomes will need to be included in the document to be shared with colleagues.  The Chair stated that they will take forward this action with appropriate colleagues.</w:t>
            </w:r>
          </w:p>
        </w:tc>
        <w:tc>
          <w:tcPr>
            <w:tcW w:w="2806" w:type="dxa"/>
            <w:tcBorders>
              <w:top w:val="nil"/>
              <w:left w:val="nil"/>
              <w:bottom w:val="nil"/>
              <w:right w:val="nil"/>
            </w:tcBorders>
          </w:tcPr>
          <w:p w14:paraId="04A37CC3" w14:textId="5E206C30" w:rsidR="00DD69C7" w:rsidRPr="00E10574" w:rsidRDefault="00DD69C7" w:rsidP="00584BAA">
            <w:pPr>
              <w:jc w:val="right"/>
              <w:rPr>
                <w:rFonts w:ascii="Arial" w:hAnsi="Arial" w:cs="Arial"/>
                <w:sz w:val="20"/>
                <w:szCs w:val="20"/>
              </w:rPr>
            </w:pPr>
          </w:p>
        </w:tc>
      </w:tr>
      <w:tr w:rsidR="00DD69C7" w14:paraId="0B6AF118" w14:textId="77777777" w:rsidTr="00DF32BA">
        <w:trPr>
          <w:trHeight w:val="768"/>
        </w:trPr>
        <w:tc>
          <w:tcPr>
            <w:tcW w:w="704" w:type="dxa"/>
            <w:tcBorders>
              <w:top w:val="nil"/>
              <w:left w:val="nil"/>
              <w:bottom w:val="nil"/>
              <w:right w:val="nil"/>
            </w:tcBorders>
          </w:tcPr>
          <w:p w14:paraId="0D3E4D5C" w14:textId="77777777" w:rsidR="00DD69C7" w:rsidRPr="00C855F0" w:rsidRDefault="00767BCC" w:rsidP="000A1018">
            <w:pPr>
              <w:rPr>
                <w:rFonts w:ascii="Arial" w:hAnsi="Arial" w:cs="Arial"/>
                <w:b/>
                <w:color w:val="1F4E79" w:themeColor="accent1" w:themeShade="80"/>
              </w:rPr>
            </w:pPr>
            <w:r>
              <w:rPr>
                <w:rFonts w:ascii="Arial" w:hAnsi="Arial" w:cs="Arial"/>
                <w:b/>
                <w:color w:val="1F4E79" w:themeColor="accent1" w:themeShade="80"/>
              </w:rPr>
              <w:lastRenderedPageBreak/>
              <w:t>3.5</w:t>
            </w:r>
          </w:p>
        </w:tc>
        <w:tc>
          <w:tcPr>
            <w:tcW w:w="6946" w:type="dxa"/>
            <w:tcBorders>
              <w:top w:val="nil"/>
              <w:left w:val="nil"/>
              <w:bottom w:val="nil"/>
              <w:right w:val="nil"/>
            </w:tcBorders>
          </w:tcPr>
          <w:p w14:paraId="5FA36107" w14:textId="77777777" w:rsidR="00DC5546" w:rsidRPr="007774DE" w:rsidRDefault="00936882" w:rsidP="00603260">
            <w:pPr>
              <w:rPr>
                <w:rFonts w:ascii="Arial" w:hAnsi="Arial" w:cs="Arial"/>
                <w:b/>
                <w:bCs/>
                <w:color w:val="1F4E79" w:themeColor="accent1" w:themeShade="80"/>
                <w:sz w:val="24"/>
                <w:szCs w:val="24"/>
              </w:rPr>
            </w:pPr>
            <w:r w:rsidRPr="007774DE">
              <w:rPr>
                <w:rFonts w:ascii="Arial" w:hAnsi="Arial" w:cs="Arial"/>
                <w:b/>
                <w:bCs/>
                <w:color w:val="1F4E79" w:themeColor="accent1" w:themeShade="80"/>
                <w:sz w:val="24"/>
                <w:szCs w:val="24"/>
              </w:rPr>
              <w:t>Subject Review Schedule 2022/23 (Minute Reference 11.1)</w:t>
            </w:r>
          </w:p>
          <w:p w14:paraId="2A2A7DB1" w14:textId="4D1231BD" w:rsidR="00936882" w:rsidRPr="007774DE" w:rsidRDefault="0058756C" w:rsidP="00603260">
            <w:pPr>
              <w:rPr>
                <w:rFonts w:ascii="Arial" w:hAnsi="Arial" w:cs="Arial"/>
                <w:b/>
                <w:bCs/>
                <w:color w:val="1F4E79" w:themeColor="accent1" w:themeShade="80"/>
                <w:sz w:val="24"/>
                <w:szCs w:val="24"/>
              </w:rPr>
            </w:pPr>
            <w:r w:rsidRPr="007774DE">
              <w:rPr>
                <w:rFonts w:ascii="Arial" w:hAnsi="Arial" w:cs="Arial"/>
                <w:color w:val="1F4E79" w:themeColor="accent1" w:themeShade="80"/>
                <w:sz w:val="24"/>
                <w:szCs w:val="24"/>
              </w:rPr>
              <w:t xml:space="preserve">It was confirmed this had been sent back to the school and is deferred. </w:t>
            </w:r>
          </w:p>
        </w:tc>
        <w:tc>
          <w:tcPr>
            <w:tcW w:w="2806" w:type="dxa"/>
            <w:tcBorders>
              <w:top w:val="nil"/>
              <w:left w:val="nil"/>
              <w:bottom w:val="nil"/>
              <w:right w:val="nil"/>
            </w:tcBorders>
          </w:tcPr>
          <w:p w14:paraId="3B24BCC7" w14:textId="4BCAE51F" w:rsidR="00DD69C7" w:rsidRPr="00E10574" w:rsidRDefault="00DD69C7" w:rsidP="00584BAA">
            <w:pPr>
              <w:jc w:val="right"/>
              <w:rPr>
                <w:rFonts w:ascii="Arial" w:hAnsi="Arial" w:cs="Arial"/>
                <w:sz w:val="20"/>
                <w:szCs w:val="20"/>
              </w:rPr>
            </w:pPr>
          </w:p>
        </w:tc>
      </w:tr>
      <w:tr w:rsidR="00DD69C7" w14:paraId="52AF7BC5" w14:textId="77777777" w:rsidTr="00DF32BA">
        <w:trPr>
          <w:trHeight w:val="753"/>
        </w:trPr>
        <w:tc>
          <w:tcPr>
            <w:tcW w:w="704" w:type="dxa"/>
            <w:tcBorders>
              <w:top w:val="nil"/>
              <w:left w:val="nil"/>
              <w:bottom w:val="nil"/>
              <w:right w:val="nil"/>
            </w:tcBorders>
          </w:tcPr>
          <w:p w14:paraId="20AFCE2F" w14:textId="77777777" w:rsidR="00DD69C7" w:rsidRPr="00C855F0" w:rsidRDefault="00767BCC" w:rsidP="000A1018">
            <w:pPr>
              <w:rPr>
                <w:rFonts w:ascii="Arial" w:hAnsi="Arial" w:cs="Arial"/>
                <w:b/>
                <w:color w:val="1F4E79" w:themeColor="accent1" w:themeShade="80"/>
              </w:rPr>
            </w:pPr>
            <w:r>
              <w:rPr>
                <w:rFonts w:ascii="Arial" w:hAnsi="Arial" w:cs="Arial"/>
                <w:b/>
                <w:color w:val="1F4E79" w:themeColor="accent1" w:themeShade="80"/>
              </w:rPr>
              <w:t>3.6</w:t>
            </w:r>
          </w:p>
        </w:tc>
        <w:tc>
          <w:tcPr>
            <w:tcW w:w="6946" w:type="dxa"/>
            <w:tcBorders>
              <w:top w:val="nil"/>
              <w:left w:val="nil"/>
              <w:bottom w:val="nil"/>
              <w:right w:val="nil"/>
            </w:tcBorders>
          </w:tcPr>
          <w:p w14:paraId="1815AEF4" w14:textId="77777777" w:rsidR="00DC5546" w:rsidRPr="007774DE" w:rsidRDefault="00AF55F6" w:rsidP="00603260">
            <w:pPr>
              <w:rPr>
                <w:rFonts w:ascii="Arial" w:hAnsi="Arial" w:cs="Arial"/>
                <w:b/>
                <w:bCs/>
                <w:color w:val="1F4E79" w:themeColor="accent1" w:themeShade="80"/>
                <w:sz w:val="24"/>
                <w:szCs w:val="24"/>
              </w:rPr>
            </w:pPr>
            <w:r w:rsidRPr="007774DE">
              <w:rPr>
                <w:rFonts w:ascii="Arial" w:hAnsi="Arial" w:cs="Arial"/>
                <w:b/>
                <w:bCs/>
                <w:color w:val="1F4E79" w:themeColor="accent1" w:themeShade="80"/>
                <w:sz w:val="24"/>
                <w:szCs w:val="24"/>
              </w:rPr>
              <w:t>Hybrid Learning Arrangements (Minute Reference 13.2)</w:t>
            </w:r>
          </w:p>
          <w:p w14:paraId="138597DA" w14:textId="5794CFEC" w:rsidR="00AF55F6" w:rsidRPr="007774DE" w:rsidRDefault="0058756C" w:rsidP="00603260">
            <w:pPr>
              <w:rPr>
                <w:rFonts w:ascii="Arial" w:hAnsi="Arial" w:cs="Arial"/>
                <w:color w:val="1F4E79" w:themeColor="accent1" w:themeShade="80"/>
                <w:sz w:val="24"/>
                <w:szCs w:val="24"/>
              </w:rPr>
            </w:pPr>
            <w:r w:rsidRPr="007774DE">
              <w:rPr>
                <w:rFonts w:ascii="Arial" w:hAnsi="Arial" w:cs="Arial"/>
                <w:color w:val="1F4E79" w:themeColor="accent1" w:themeShade="80"/>
                <w:sz w:val="24"/>
                <w:szCs w:val="24"/>
              </w:rPr>
              <w:t>It was noted that w</w:t>
            </w:r>
            <w:r w:rsidR="00AF55F6" w:rsidRPr="007774DE">
              <w:rPr>
                <w:rFonts w:ascii="Arial" w:hAnsi="Arial" w:cs="Arial"/>
                <w:color w:val="1F4E79" w:themeColor="accent1" w:themeShade="80"/>
                <w:sz w:val="24"/>
                <w:szCs w:val="24"/>
              </w:rPr>
              <w:t xml:space="preserve">ith respect to portable microphones, lecture theatre spaces have been equipped with these facilities, </w:t>
            </w:r>
            <w:r w:rsidR="005802D5" w:rsidRPr="007774DE">
              <w:rPr>
                <w:rFonts w:ascii="Arial" w:hAnsi="Arial" w:cs="Arial"/>
                <w:color w:val="1F4E79" w:themeColor="accent1" w:themeShade="80"/>
                <w:sz w:val="24"/>
                <w:szCs w:val="24"/>
              </w:rPr>
              <w:t>schools confirmed that they all have them</w:t>
            </w:r>
            <w:r w:rsidR="00AF55F6" w:rsidRPr="007774DE">
              <w:rPr>
                <w:rFonts w:ascii="Arial" w:hAnsi="Arial" w:cs="Arial"/>
                <w:color w:val="1F4E79" w:themeColor="accent1" w:themeShade="80"/>
                <w:sz w:val="24"/>
                <w:szCs w:val="24"/>
              </w:rPr>
              <w:t xml:space="preserve">. </w:t>
            </w:r>
          </w:p>
        </w:tc>
        <w:tc>
          <w:tcPr>
            <w:tcW w:w="2806" w:type="dxa"/>
            <w:tcBorders>
              <w:top w:val="nil"/>
              <w:left w:val="nil"/>
              <w:bottom w:val="nil"/>
              <w:right w:val="nil"/>
            </w:tcBorders>
          </w:tcPr>
          <w:p w14:paraId="071F3135" w14:textId="39C632C2" w:rsidR="00DD69C7" w:rsidRPr="00E10574" w:rsidRDefault="00DD69C7" w:rsidP="00584BAA">
            <w:pPr>
              <w:jc w:val="right"/>
              <w:rPr>
                <w:rFonts w:ascii="Arial" w:hAnsi="Arial" w:cs="Arial"/>
                <w:sz w:val="20"/>
                <w:szCs w:val="20"/>
              </w:rPr>
            </w:pPr>
          </w:p>
        </w:tc>
      </w:tr>
      <w:tr w:rsidR="00767BCC" w14:paraId="4D6320D0" w14:textId="77777777" w:rsidTr="009234BE">
        <w:trPr>
          <w:trHeight w:val="1325"/>
        </w:trPr>
        <w:tc>
          <w:tcPr>
            <w:tcW w:w="704" w:type="dxa"/>
            <w:tcBorders>
              <w:top w:val="nil"/>
              <w:left w:val="nil"/>
              <w:bottom w:val="nil"/>
              <w:right w:val="nil"/>
            </w:tcBorders>
          </w:tcPr>
          <w:p w14:paraId="312C1347" w14:textId="77777777" w:rsidR="00767BCC" w:rsidRPr="009234BE" w:rsidRDefault="00767BCC" w:rsidP="00767BCC">
            <w:pPr>
              <w:rPr>
                <w:rFonts w:ascii="Arial" w:hAnsi="Arial" w:cs="Arial"/>
                <w:b/>
                <w:color w:val="1F4E79" w:themeColor="accent1" w:themeShade="80"/>
                <w:sz w:val="24"/>
                <w:szCs w:val="24"/>
              </w:rPr>
            </w:pPr>
            <w:r w:rsidRPr="009234BE">
              <w:rPr>
                <w:rFonts w:ascii="Arial" w:hAnsi="Arial" w:cs="Arial"/>
                <w:b/>
                <w:color w:val="1F4E79" w:themeColor="accent1" w:themeShade="80"/>
                <w:sz w:val="24"/>
                <w:szCs w:val="24"/>
              </w:rPr>
              <w:t>3.7</w:t>
            </w:r>
          </w:p>
        </w:tc>
        <w:tc>
          <w:tcPr>
            <w:tcW w:w="6946" w:type="dxa"/>
            <w:tcBorders>
              <w:top w:val="nil"/>
              <w:left w:val="nil"/>
              <w:bottom w:val="nil"/>
              <w:right w:val="nil"/>
            </w:tcBorders>
          </w:tcPr>
          <w:p w14:paraId="3D2488D9" w14:textId="77777777" w:rsidR="00767BCC" w:rsidRPr="009234BE" w:rsidRDefault="005E5CF7" w:rsidP="00767BCC">
            <w:pPr>
              <w:rPr>
                <w:rFonts w:ascii="Arial" w:hAnsi="Arial" w:cs="Arial"/>
                <w:b/>
                <w:bCs/>
                <w:color w:val="1F4E79" w:themeColor="accent1" w:themeShade="80"/>
                <w:sz w:val="24"/>
                <w:szCs w:val="24"/>
              </w:rPr>
            </w:pPr>
            <w:r w:rsidRPr="009234BE">
              <w:rPr>
                <w:rFonts w:ascii="Arial" w:hAnsi="Arial" w:cs="Arial"/>
                <w:b/>
                <w:bCs/>
                <w:color w:val="1F4E79" w:themeColor="accent1" w:themeShade="80"/>
                <w:sz w:val="24"/>
                <w:szCs w:val="24"/>
              </w:rPr>
              <w:t>QAA Subject Benchmarks (Minute Reference 3.2)</w:t>
            </w:r>
          </w:p>
          <w:p w14:paraId="66A7B2A0" w14:textId="60B6E276" w:rsidR="00101A6F" w:rsidRPr="009234BE" w:rsidRDefault="009234BE" w:rsidP="00101A6F">
            <w:pPr>
              <w:autoSpaceDE w:val="0"/>
              <w:autoSpaceDN w:val="0"/>
              <w:spacing w:line="245" w:lineRule="atLeast"/>
              <w:rPr>
                <w:rFonts w:ascii="Arial" w:hAnsi="Arial" w:cs="Arial"/>
                <w:color w:val="1F4E79" w:themeColor="accent1" w:themeShade="80"/>
                <w:sz w:val="24"/>
                <w:szCs w:val="24"/>
              </w:rPr>
            </w:pPr>
            <w:r w:rsidRPr="009234BE">
              <w:rPr>
                <w:rFonts w:ascii="Arial" w:hAnsi="Arial" w:cs="Arial"/>
                <w:color w:val="1F4E79" w:themeColor="accent1" w:themeShade="80"/>
                <w:sz w:val="24"/>
                <w:szCs w:val="24"/>
              </w:rPr>
              <w:t xml:space="preserve">It was noted </w:t>
            </w:r>
            <w:r w:rsidR="00101A6F" w:rsidRPr="009234BE">
              <w:rPr>
                <w:rFonts w:ascii="Arial" w:hAnsi="Arial" w:cs="Arial"/>
                <w:color w:val="1F4E79" w:themeColor="accent1" w:themeShade="80"/>
                <w:sz w:val="24"/>
                <w:szCs w:val="24"/>
              </w:rPr>
              <w:t xml:space="preserve">from </w:t>
            </w:r>
            <w:r w:rsidRPr="009234BE">
              <w:rPr>
                <w:rFonts w:ascii="Arial" w:hAnsi="Arial" w:cs="Arial"/>
                <w:color w:val="1F4E79" w:themeColor="accent1" w:themeShade="80"/>
                <w:sz w:val="24"/>
                <w:szCs w:val="24"/>
              </w:rPr>
              <w:t xml:space="preserve">the </w:t>
            </w:r>
            <w:r w:rsidR="00101A6F" w:rsidRPr="009234BE">
              <w:rPr>
                <w:rFonts w:ascii="Arial" w:hAnsi="Arial" w:cs="Arial"/>
                <w:color w:val="1F4E79" w:themeColor="accent1" w:themeShade="80"/>
                <w:sz w:val="24"/>
                <w:szCs w:val="24"/>
              </w:rPr>
              <w:t xml:space="preserve">School of Applied Sciences that all courses have now been mapped to the most recent benchmarks.  </w:t>
            </w:r>
          </w:p>
          <w:p w14:paraId="02EC550D" w14:textId="2AADD68F" w:rsidR="00101A6F" w:rsidRPr="009234BE" w:rsidRDefault="00101A6F" w:rsidP="009234BE">
            <w:pPr>
              <w:rPr>
                <w:rFonts w:ascii="Arial" w:hAnsi="Arial" w:cs="Arial"/>
                <w:color w:val="1F4E79" w:themeColor="accent1" w:themeShade="80"/>
                <w:sz w:val="24"/>
                <w:szCs w:val="24"/>
              </w:rPr>
            </w:pPr>
            <w:r w:rsidRPr="009234BE">
              <w:rPr>
                <w:rFonts w:ascii="Arial" w:hAnsi="Arial" w:cs="Arial"/>
                <w:color w:val="1F4E79" w:themeColor="accent1" w:themeShade="80"/>
                <w:sz w:val="24"/>
                <w:szCs w:val="24"/>
              </w:rPr>
              <w:t xml:space="preserve">For School of Arts and Humanities, </w:t>
            </w:r>
            <w:r w:rsidR="009234BE" w:rsidRPr="009234BE">
              <w:rPr>
                <w:rFonts w:ascii="Arial" w:hAnsi="Arial" w:cs="Arial"/>
                <w:color w:val="1F4E79" w:themeColor="accent1" w:themeShade="80"/>
                <w:sz w:val="24"/>
                <w:szCs w:val="24"/>
              </w:rPr>
              <w:t xml:space="preserve">it was noted that Drama is pending and two are waiting. </w:t>
            </w:r>
          </w:p>
        </w:tc>
        <w:tc>
          <w:tcPr>
            <w:tcW w:w="2806" w:type="dxa"/>
            <w:tcBorders>
              <w:top w:val="nil"/>
              <w:left w:val="nil"/>
              <w:bottom w:val="nil"/>
              <w:right w:val="nil"/>
            </w:tcBorders>
          </w:tcPr>
          <w:p w14:paraId="3F87876C" w14:textId="77777777" w:rsidR="00767BCC" w:rsidRPr="00E10574" w:rsidRDefault="00767BCC" w:rsidP="00767BCC">
            <w:pPr>
              <w:jc w:val="right"/>
              <w:rPr>
                <w:rFonts w:ascii="Arial" w:hAnsi="Arial" w:cs="Arial"/>
                <w:sz w:val="20"/>
                <w:szCs w:val="20"/>
              </w:rPr>
            </w:pPr>
          </w:p>
        </w:tc>
      </w:tr>
      <w:tr w:rsidR="005E5CF7" w14:paraId="0654A1DA" w14:textId="77777777" w:rsidTr="00DF32BA">
        <w:trPr>
          <w:trHeight w:val="768"/>
        </w:trPr>
        <w:tc>
          <w:tcPr>
            <w:tcW w:w="704" w:type="dxa"/>
            <w:tcBorders>
              <w:top w:val="nil"/>
              <w:left w:val="nil"/>
              <w:bottom w:val="nil"/>
              <w:right w:val="nil"/>
            </w:tcBorders>
          </w:tcPr>
          <w:p w14:paraId="19DFB537" w14:textId="74284583" w:rsidR="005E5CF7" w:rsidRPr="009234BE" w:rsidRDefault="005E5CF7" w:rsidP="00767BCC">
            <w:pPr>
              <w:rPr>
                <w:rFonts w:ascii="Arial" w:hAnsi="Arial" w:cs="Arial"/>
                <w:b/>
                <w:color w:val="1F4E79" w:themeColor="accent1" w:themeShade="80"/>
                <w:sz w:val="24"/>
                <w:szCs w:val="24"/>
              </w:rPr>
            </w:pPr>
            <w:r w:rsidRPr="009234BE">
              <w:rPr>
                <w:rFonts w:ascii="Arial" w:hAnsi="Arial" w:cs="Arial"/>
                <w:b/>
                <w:color w:val="1F4E79" w:themeColor="accent1" w:themeShade="80"/>
                <w:sz w:val="24"/>
                <w:szCs w:val="24"/>
              </w:rPr>
              <w:t>3.8</w:t>
            </w:r>
          </w:p>
        </w:tc>
        <w:tc>
          <w:tcPr>
            <w:tcW w:w="6946" w:type="dxa"/>
            <w:tcBorders>
              <w:top w:val="nil"/>
              <w:left w:val="nil"/>
              <w:bottom w:val="nil"/>
              <w:right w:val="nil"/>
            </w:tcBorders>
          </w:tcPr>
          <w:p w14:paraId="16C08634" w14:textId="77777777" w:rsidR="005E5CF7" w:rsidRPr="009234BE" w:rsidRDefault="00101A6F" w:rsidP="00767BCC">
            <w:pPr>
              <w:rPr>
                <w:rFonts w:ascii="Arial" w:hAnsi="Arial" w:cs="Arial"/>
                <w:b/>
                <w:bCs/>
                <w:color w:val="1F4E79" w:themeColor="accent1" w:themeShade="80"/>
                <w:sz w:val="24"/>
                <w:szCs w:val="24"/>
              </w:rPr>
            </w:pPr>
            <w:r w:rsidRPr="009234BE">
              <w:rPr>
                <w:rFonts w:ascii="Arial" w:hAnsi="Arial" w:cs="Arial"/>
                <w:b/>
                <w:bCs/>
                <w:color w:val="1F4E79" w:themeColor="accent1" w:themeShade="80"/>
                <w:sz w:val="24"/>
                <w:szCs w:val="24"/>
              </w:rPr>
              <w:t>Quality Appraisal (Minute reference 17.1)</w:t>
            </w:r>
          </w:p>
          <w:p w14:paraId="3637B262" w14:textId="61644372" w:rsidR="00101A6F" w:rsidRPr="009234BE" w:rsidRDefault="009234BE" w:rsidP="00767BCC">
            <w:pPr>
              <w:rPr>
                <w:rFonts w:ascii="Arial" w:hAnsi="Arial" w:cs="Arial"/>
                <w:b/>
                <w:bCs/>
                <w:color w:val="1F4E79" w:themeColor="accent1" w:themeShade="80"/>
                <w:sz w:val="24"/>
                <w:szCs w:val="24"/>
              </w:rPr>
            </w:pPr>
            <w:r w:rsidRPr="009234BE">
              <w:rPr>
                <w:rFonts w:ascii="Arial" w:hAnsi="Arial" w:cs="Arial"/>
                <w:color w:val="1F4E79" w:themeColor="accent1" w:themeShade="80"/>
                <w:sz w:val="24"/>
                <w:szCs w:val="24"/>
              </w:rPr>
              <w:t xml:space="preserve">It was </w:t>
            </w:r>
            <w:r w:rsidR="00101A6F" w:rsidRPr="009234BE">
              <w:rPr>
                <w:rFonts w:ascii="Arial" w:hAnsi="Arial" w:cs="Arial"/>
                <w:color w:val="1F4E79" w:themeColor="accent1" w:themeShade="80"/>
                <w:sz w:val="24"/>
                <w:szCs w:val="24"/>
              </w:rPr>
              <w:t>note</w:t>
            </w:r>
            <w:r w:rsidRPr="009234BE">
              <w:rPr>
                <w:rFonts w:ascii="Arial" w:hAnsi="Arial" w:cs="Arial"/>
                <w:color w:val="1F4E79" w:themeColor="accent1" w:themeShade="80"/>
                <w:sz w:val="24"/>
                <w:szCs w:val="24"/>
              </w:rPr>
              <w:t>d</w:t>
            </w:r>
            <w:r w:rsidR="00101A6F" w:rsidRPr="009234BE">
              <w:rPr>
                <w:rFonts w:ascii="Arial" w:hAnsi="Arial" w:cs="Arial"/>
                <w:color w:val="1F4E79" w:themeColor="accent1" w:themeShade="80"/>
                <w:sz w:val="24"/>
                <w:szCs w:val="24"/>
              </w:rPr>
              <w:t xml:space="preserve"> that permission has been given by the PVC (T&amp;L) to delay the HHS SAVP Quality Appraisal until 2022/23</w:t>
            </w:r>
          </w:p>
        </w:tc>
        <w:tc>
          <w:tcPr>
            <w:tcW w:w="2806" w:type="dxa"/>
            <w:tcBorders>
              <w:top w:val="nil"/>
              <w:left w:val="nil"/>
              <w:bottom w:val="nil"/>
              <w:right w:val="nil"/>
            </w:tcBorders>
          </w:tcPr>
          <w:p w14:paraId="11C3244F" w14:textId="77777777" w:rsidR="005E5CF7" w:rsidRPr="00E10574" w:rsidRDefault="005E5CF7" w:rsidP="00767BCC">
            <w:pPr>
              <w:jc w:val="right"/>
              <w:rPr>
                <w:rFonts w:ascii="Arial" w:hAnsi="Arial" w:cs="Arial"/>
                <w:sz w:val="20"/>
                <w:szCs w:val="20"/>
              </w:rPr>
            </w:pPr>
          </w:p>
        </w:tc>
      </w:tr>
      <w:tr w:rsidR="00767BCC" w14:paraId="5A8449EE" w14:textId="77777777" w:rsidTr="00DF32BA">
        <w:trPr>
          <w:trHeight w:val="256"/>
        </w:trPr>
        <w:tc>
          <w:tcPr>
            <w:tcW w:w="704" w:type="dxa"/>
            <w:tcBorders>
              <w:top w:val="nil"/>
              <w:left w:val="nil"/>
              <w:bottom w:val="nil"/>
              <w:right w:val="nil"/>
            </w:tcBorders>
          </w:tcPr>
          <w:p w14:paraId="6EEEAF97" w14:textId="77777777" w:rsidR="00767BCC" w:rsidRPr="00C855F0" w:rsidRDefault="00767BCC" w:rsidP="00767BCC">
            <w:pPr>
              <w:rPr>
                <w:rFonts w:ascii="Arial" w:hAnsi="Arial" w:cs="Arial"/>
                <w:b/>
                <w:color w:val="1F4E79" w:themeColor="accent1" w:themeShade="80"/>
              </w:rPr>
            </w:pPr>
          </w:p>
        </w:tc>
        <w:tc>
          <w:tcPr>
            <w:tcW w:w="6946" w:type="dxa"/>
            <w:tcBorders>
              <w:top w:val="nil"/>
              <w:left w:val="nil"/>
              <w:bottom w:val="nil"/>
              <w:right w:val="nil"/>
            </w:tcBorders>
          </w:tcPr>
          <w:p w14:paraId="55D32080" w14:textId="77777777" w:rsidR="00767BCC" w:rsidRDefault="00767BCC" w:rsidP="00767BCC">
            <w:pPr>
              <w:rPr>
                <w:rFonts w:ascii="Arial" w:hAnsi="Arial" w:cs="Arial"/>
              </w:rPr>
            </w:pPr>
          </w:p>
        </w:tc>
        <w:tc>
          <w:tcPr>
            <w:tcW w:w="2806" w:type="dxa"/>
            <w:tcBorders>
              <w:top w:val="nil"/>
              <w:left w:val="nil"/>
              <w:bottom w:val="nil"/>
              <w:right w:val="nil"/>
            </w:tcBorders>
          </w:tcPr>
          <w:p w14:paraId="1F92B707" w14:textId="77777777" w:rsidR="00767BCC" w:rsidRPr="00E10574" w:rsidRDefault="00767BCC" w:rsidP="00767BCC">
            <w:pPr>
              <w:jc w:val="right"/>
              <w:rPr>
                <w:rFonts w:ascii="Arial" w:hAnsi="Arial" w:cs="Arial"/>
                <w:sz w:val="20"/>
                <w:szCs w:val="20"/>
              </w:rPr>
            </w:pPr>
          </w:p>
        </w:tc>
      </w:tr>
      <w:tr w:rsidR="00767BCC" w14:paraId="61B0E50A" w14:textId="77777777" w:rsidTr="00DE22B0">
        <w:trPr>
          <w:trHeight w:val="376"/>
        </w:trPr>
        <w:tc>
          <w:tcPr>
            <w:tcW w:w="10456" w:type="dxa"/>
            <w:gridSpan w:val="3"/>
            <w:tcBorders>
              <w:top w:val="nil"/>
              <w:bottom w:val="nil"/>
            </w:tcBorders>
            <w:shd w:val="clear" w:color="auto" w:fill="1F4E79" w:themeFill="accent1" w:themeFillShade="80"/>
          </w:tcPr>
          <w:p w14:paraId="201506C1" w14:textId="77777777" w:rsidR="00767BCC" w:rsidRPr="006017E9" w:rsidRDefault="00767BCC" w:rsidP="00767BCC">
            <w:pPr>
              <w:spacing w:after="120"/>
              <w:rPr>
                <w:rFonts w:ascii="Arial" w:hAnsi="Arial" w:cs="Arial"/>
                <w:b/>
                <w:color w:val="FFFFFF" w:themeColor="background1"/>
                <w:sz w:val="24"/>
                <w:szCs w:val="24"/>
              </w:rPr>
            </w:pPr>
            <w:r w:rsidRPr="006017E9">
              <w:rPr>
                <w:rFonts w:ascii="Arial" w:hAnsi="Arial" w:cs="Arial"/>
                <w:b/>
                <w:color w:val="FFFFFF" w:themeColor="background1"/>
                <w:sz w:val="24"/>
                <w:szCs w:val="24"/>
              </w:rPr>
              <w:t xml:space="preserve">TO CONSIDER: </w:t>
            </w:r>
          </w:p>
        </w:tc>
      </w:tr>
      <w:tr w:rsidR="00767BCC" w14:paraId="456B3A79" w14:textId="77777777" w:rsidTr="00DF32BA">
        <w:trPr>
          <w:trHeight w:val="256"/>
        </w:trPr>
        <w:tc>
          <w:tcPr>
            <w:tcW w:w="704" w:type="dxa"/>
            <w:tcBorders>
              <w:top w:val="nil"/>
              <w:left w:val="nil"/>
              <w:bottom w:val="nil"/>
              <w:right w:val="nil"/>
            </w:tcBorders>
          </w:tcPr>
          <w:p w14:paraId="5A4FA30C" w14:textId="77777777" w:rsidR="00767BCC" w:rsidRPr="00D615CE" w:rsidRDefault="00767BCC" w:rsidP="00767BCC">
            <w:pPr>
              <w:rPr>
                <w:rFonts w:ascii="Arial" w:hAnsi="Arial" w:cs="Arial"/>
                <w:b/>
                <w:color w:val="1F4E79" w:themeColor="accent1" w:themeShade="80"/>
              </w:rPr>
            </w:pPr>
          </w:p>
        </w:tc>
        <w:tc>
          <w:tcPr>
            <w:tcW w:w="6946" w:type="dxa"/>
            <w:tcBorders>
              <w:top w:val="nil"/>
              <w:left w:val="nil"/>
              <w:bottom w:val="nil"/>
              <w:right w:val="nil"/>
            </w:tcBorders>
          </w:tcPr>
          <w:p w14:paraId="3C2EEB36" w14:textId="77777777" w:rsidR="00767BCC" w:rsidRPr="000A366C" w:rsidRDefault="00767BCC" w:rsidP="00767BCC">
            <w:pPr>
              <w:rPr>
                <w:rFonts w:ascii="Arial" w:hAnsi="Arial" w:cs="Arial"/>
                <w:b/>
              </w:rPr>
            </w:pPr>
          </w:p>
        </w:tc>
        <w:tc>
          <w:tcPr>
            <w:tcW w:w="2806" w:type="dxa"/>
            <w:tcBorders>
              <w:top w:val="nil"/>
              <w:left w:val="nil"/>
              <w:bottom w:val="nil"/>
              <w:right w:val="nil"/>
            </w:tcBorders>
          </w:tcPr>
          <w:p w14:paraId="6F024703" w14:textId="77777777" w:rsidR="00767BCC" w:rsidRPr="00E10574" w:rsidRDefault="00767BCC" w:rsidP="00767BCC">
            <w:pPr>
              <w:jc w:val="right"/>
              <w:rPr>
                <w:rFonts w:ascii="Arial" w:hAnsi="Arial" w:cs="Arial"/>
                <w:sz w:val="20"/>
                <w:szCs w:val="20"/>
              </w:rPr>
            </w:pPr>
          </w:p>
        </w:tc>
      </w:tr>
      <w:tr w:rsidR="00767BCC" w14:paraId="17C76F30" w14:textId="77777777" w:rsidTr="00DF32BA">
        <w:trPr>
          <w:trHeight w:val="241"/>
        </w:trPr>
        <w:tc>
          <w:tcPr>
            <w:tcW w:w="704" w:type="dxa"/>
            <w:tcBorders>
              <w:top w:val="nil"/>
              <w:left w:val="nil"/>
              <w:bottom w:val="nil"/>
              <w:right w:val="nil"/>
            </w:tcBorders>
          </w:tcPr>
          <w:p w14:paraId="3DAEFB84" w14:textId="77777777" w:rsidR="00767BCC" w:rsidRPr="00CD08FC" w:rsidRDefault="00767BCC" w:rsidP="00767BCC">
            <w:pPr>
              <w:rPr>
                <w:rFonts w:ascii="Arial" w:hAnsi="Arial" w:cs="Arial"/>
                <w:b/>
                <w:color w:val="1F4E79" w:themeColor="accent1" w:themeShade="80"/>
                <w:sz w:val="24"/>
                <w:szCs w:val="24"/>
              </w:rPr>
            </w:pPr>
            <w:r w:rsidRPr="00CD08FC">
              <w:rPr>
                <w:rFonts w:ascii="Arial" w:hAnsi="Arial" w:cs="Arial"/>
                <w:b/>
                <w:color w:val="1F4E79" w:themeColor="accent1" w:themeShade="80"/>
                <w:sz w:val="24"/>
                <w:szCs w:val="24"/>
              </w:rPr>
              <w:t>4.</w:t>
            </w:r>
          </w:p>
        </w:tc>
        <w:tc>
          <w:tcPr>
            <w:tcW w:w="6946" w:type="dxa"/>
            <w:tcBorders>
              <w:top w:val="nil"/>
              <w:left w:val="nil"/>
              <w:bottom w:val="nil"/>
              <w:right w:val="nil"/>
            </w:tcBorders>
          </w:tcPr>
          <w:p w14:paraId="7CF3BC55" w14:textId="77777777" w:rsidR="00767BCC" w:rsidRPr="00CD08FC" w:rsidRDefault="00767BCC" w:rsidP="00767BCC">
            <w:pPr>
              <w:rPr>
                <w:rFonts w:ascii="Arial" w:hAnsi="Arial" w:cs="Arial"/>
                <w:b/>
                <w:color w:val="1F4E79" w:themeColor="accent1" w:themeShade="80"/>
                <w:sz w:val="24"/>
                <w:szCs w:val="24"/>
              </w:rPr>
            </w:pPr>
            <w:r w:rsidRPr="00CD08FC">
              <w:rPr>
                <w:rFonts w:ascii="Arial" w:hAnsi="Arial" w:cs="Arial"/>
                <w:b/>
                <w:color w:val="1F4E79" w:themeColor="accent1" w:themeShade="80"/>
                <w:sz w:val="24"/>
                <w:szCs w:val="24"/>
              </w:rPr>
              <w:t>CHAIRS BUSINESS</w:t>
            </w:r>
          </w:p>
        </w:tc>
        <w:tc>
          <w:tcPr>
            <w:tcW w:w="2806" w:type="dxa"/>
            <w:tcBorders>
              <w:top w:val="nil"/>
              <w:left w:val="nil"/>
              <w:bottom w:val="nil"/>
              <w:right w:val="nil"/>
            </w:tcBorders>
          </w:tcPr>
          <w:p w14:paraId="2D8D10BA" w14:textId="43AC82C1" w:rsidR="00767BCC" w:rsidRPr="00E10574" w:rsidRDefault="00767BCC" w:rsidP="00767BCC">
            <w:pPr>
              <w:jc w:val="right"/>
              <w:rPr>
                <w:rFonts w:ascii="Arial" w:hAnsi="Arial" w:cs="Arial"/>
                <w:sz w:val="20"/>
                <w:szCs w:val="20"/>
              </w:rPr>
            </w:pPr>
          </w:p>
        </w:tc>
      </w:tr>
      <w:tr w:rsidR="00767BCC" w14:paraId="7C3E4945" w14:textId="77777777" w:rsidTr="00DF32BA">
        <w:trPr>
          <w:trHeight w:val="512"/>
        </w:trPr>
        <w:tc>
          <w:tcPr>
            <w:tcW w:w="704" w:type="dxa"/>
            <w:tcBorders>
              <w:top w:val="nil"/>
              <w:left w:val="nil"/>
              <w:bottom w:val="nil"/>
              <w:right w:val="nil"/>
            </w:tcBorders>
          </w:tcPr>
          <w:p w14:paraId="59014014" w14:textId="77777777" w:rsidR="00767BCC" w:rsidRPr="00CD08FC" w:rsidRDefault="00767BCC" w:rsidP="00767BCC">
            <w:pPr>
              <w:rPr>
                <w:rFonts w:ascii="Arial" w:hAnsi="Arial" w:cs="Arial"/>
                <w:b/>
                <w:color w:val="1F4E79" w:themeColor="accent1" w:themeShade="80"/>
                <w:sz w:val="24"/>
                <w:szCs w:val="24"/>
              </w:rPr>
            </w:pPr>
            <w:r w:rsidRPr="00CD08FC">
              <w:rPr>
                <w:rFonts w:ascii="Arial" w:hAnsi="Arial" w:cs="Arial"/>
                <w:b/>
                <w:color w:val="1F4E79" w:themeColor="accent1" w:themeShade="80"/>
                <w:sz w:val="24"/>
                <w:szCs w:val="24"/>
              </w:rPr>
              <w:t>4.1</w:t>
            </w:r>
          </w:p>
        </w:tc>
        <w:tc>
          <w:tcPr>
            <w:tcW w:w="6946" w:type="dxa"/>
            <w:tcBorders>
              <w:top w:val="nil"/>
              <w:left w:val="nil"/>
              <w:bottom w:val="nil"/>
              <w:right w:val="nil"/>
            </w:tcBorders>
          </w:tcPr>
          <w:p w14:paraId="4F861110" w14:textId="77777777" w:rsidR="002237F6" w:rsidRPr="008B5AEF" w:rsidRDefault="007F3E16" w:rsidP="007C4A1C">
            <w:pPr>
              <w:rPr>
                <w:rFonts w:ascii="Arial" w:hAnsi="Arial" w:cs="Arial"/>
                <w:b/>
                <w:color w:val="1F4E79" w:themeColor="accent1" w:themeShade="80"/>
                <w:sz w:val="24"/>
                <w:szCs w:val="24"/>
              </w:rPr>
            </w:pPr>
            <w:r w:rsidRPr="008B5AEF">
              <w:rPr>
                <w:rFonts w:ascii="Arial" w:hAnsi="Arial" w:cs="Arial"/>
                <w:b/>
                <w:color w:val="1F4E79" w:themeColor="accent1" w:themeShade="80"/>
                <w:sz w:val="24"/>
                <w:szCs w:val="24"/>
              </w:rPr>
              <w:t xml:space="preserve">Update on OFS </w:t>
            </w:r>
            <w:r w:rsidR="00B5279D" w:rsidRPr="008B5AEF">
              <w:rPr>
                <w:rFonts w:ascii="Arial" w:hAnsi="Arial" w:cs="Arial"/>
                <w:b/>
                <w:color w:val="1F4E79" w:themeColor="accent1" w:themeShade="80"/>
                <w:sz w:val="24"/>
                <w:szCs w:val="24"/>
              </w:rPr>
              <w:t>consultations</w:t>
            </w:r>
            <w:r w:rsidRPr="008B5AEF">
              <w:rPr>
                <w:rFonts w:ascii="Arial" w:hAnsi="Arial" w:cs="Arial"/>
                <w:b/>
                <w:color w:val="1F4E79" w:themeColor="accent1" w:themeShade="80"/>
                <w:sz w:val="24"/>
                <w:szCs w:val="24"/>
              </w:rPr>
              <w:t xml:space="preserve"> </w:t>
            </w:r>
          </w:p>
          <w:p w14:paraId="1834955E" w14:textId="77777777" w:rsidR="002237F6" w:rsidRPr="008B5AEF" w:rsidRDefault="00500F43" w:rsidP="007C4A1C">
            <w:pPr>
              <w:rPr>
                <w:rFonts w:ascii="Arial" w:hAnsi="Arial" w:cs="Arial"/>
                <w:bCs/>
                <w:color w:val="1F4E79" w:themeColor="accent1" w:themeShade="80"/>
                <w:sz w:val="24"/>
                <w:szCs w:val="24"/>
              </w:rPr>
            </w:pPr>
            <w:r w:rsidRPr="008B5AEF">
              <w:rPr>
                <w:rFonts w:ascii="Arial" w:hAnsi="Arial" w:cs="Arial"/>
                <w:bCs/>
                <w:color w:val="1F4E79" w:themeColor="accent1" w:themeShade="80"/>
                <w:sz w:val="24"/>
                <w:szCs w:val="24"/>
              </w:rPr>
              <w:t>B3 consultation</w:t>
            </w:r>
          </w:p>
          <w:p w14:paraId="6D6FBD3E" w14:textId="77777777" w:rsidR="007E3F4F" w:rsidRPr="008B5AEF" w:rsidRDefault="007E3F4F" w:rsidP="007C4A1C">
            <w:pPr>
              <w:rPr>
                <w:rFonts w:ascii="Arial" w:hAnsi="Arial" w:cs="Arial"/>
                <w:bCs/>
                <w:color w:val="1F4E79" w:themeColor="accent1" w:themeShade="80"/>
                <w:sz w:val="24"/>
                <w:szCs w:val="24"/>
              </w:rPr>
            </w:pPr>
          </w:p>
          <w:p w14:paraId="20042F96" w14:textId="40CD8266" w:rsidR="007E3F4F" w:rsidRPr="008B5AEF" w:rsidRDefault="007E3F4F" w:rsidP="007C4A1C">
            <w:pPr>
              <w:rPr>
                <w:rFonts w:ascii="Arial" w:hAnsi="Arial" w:cs="Arial"/>
                <w:bCs/>
                <w:color w:val="1F4E79" w:themeColor="accent1" w:themeShade="80"/>
                <w:sz w:val="24"/>
                <w:szCs w:val="24"/>
              </w:rPr>
            </w:pPr>
            <w:r w:rsidRPr="008B5AEF">
              <w:rPr>
                <w:rFonts w:ascii="Arial" w:hAnsi="Arial" w:cs="Arial"/>
                <w:bCs/>
                <w:color w:val="1F4E79" w:themeColor="accent1" w:themeShade="80"/>
                <w:sz w:val="24"/>
                <w:szCs w:val="24"/>
              </w:rPr>
              <w:t xml:space="preserve">The Chair updated members that a response has been sent to the OFS in relation to the B3 consultation. </w:t>
            </w:r>
          </w:p>
        </w:tc>
        <w:tc>
          <w:tcPr>
            <w:tcW w:w="2806" w:type="dxa"/>
            <w:tcBorders>
              <w:top w:val="nil"/>
              <w:left w:val="nil"/>
              <w:bottom w:val="nil"/>
              <w:right w:val="nil"/>
            </w:tcBorders>
          </w:tcPr>
          <w:p w14:paraId="5BA24BAE" w14:textId="77777777" w:rsidR="00767BCC" w:rsidRPr="008B5AEF" w:rsidRDefault="00767BCC" w:rsidP="00767BCC">
            <w:pPr>
              <w:jc w:val="right"/>
              <w:rPr>
                <w:rFonts w:ascii="Arial" w:hAnsi="Arial" w:cs="Arial"/>
                <w:color w:val="1F4E79" w:themeColor="accent1" w:themeShade="80"/>
                <w:sz w:val="24"/>
                <w:szCs w:val="24"/>
              </w:rPr>
            </w:pPr>
          </w:p>
        </w:tc>
      </w:tr>
      <w:tr w:rsidR="002237F6" w14:paraId="6F991A84" w14:textId="77777777" w:rsidTr="00DF32BA">
        <w:trPr>
          <w:trHeight w:val="256"/>
        </w:trPr>
        <w:tc>
          <w:tcPr>
            <w:tcW w:w="704" w:type="dxa"/>
            <w:tcBorders>
              <w:top w:val="nil"/>
              <w:left w:val="nil"/>
              <w:bottom w:val="nil"/>
              <w:right w:val="nil"/>
            </w:tcBorders>
          </w:tcPr>
          <w:p w14:paraId="067FD237" w14:textId="3A533BDC" w:rsidR="002237F6" w:rsidRPr="0037201F" w:rsidRDefault="002237F6" w:rsidP="00767BCC">
            <w:pPr>
              <w:rPr>
                <w:rFonts w:ascii="Arial" w:hAnsi="Arial" w:cs="Arial"/>
                <w:b/>
                <w:color w:val="1F4E79" w:themeColor="accent1" w:themeShade="80"/>
                <w:sz w:val="24"/>
                <w:szCs w:val="24"/>
              </w:rPr>
            </w:pPr>
            <w:r w:rsidRPr="0037201F">
              <w:rPr>
                <w:rFonts w:ascii="Arial" w:hAnsi="Arial" w:cs="Arial"/>
                <w:b/>
                <w:color w:val="1F4E79" w:themeColor="accent1" w:themeShade="80"/>
                <w:sz w:val="24"/>
                <w:szCs w:val="24"/>
              </w:rPr>
              <w:t>4.2</w:t>
            </w:r>
          </w:p>
        </w:tc>
        <w:tc>
          <w:tcPr>
            <w:tcW w:w="6946" w:type="dxa"/>
            <w:tcBorders>
              <w:top w:val="nil"/>
              <w:left w:val="nil"/>
              <w:bottom w:val="nil"/>
              <w:right w:val="nil"/>
            </w:tcBorders>
          </w:tcPr>
          <w:p w14:paraId="3C3572EE" w14:textId="77777777" w:rsidR="002237F6" w:rsidRPr="008B5AEF" w:rsidRDefault="002237F6" w:rsidP="007C4A1C">
            <w:pPr>
              <w:rPr>
                <w:rFonts w:ascii="Arial" w:hAnsi="Arial" w:cs="Arial"/>
                <w:b/>
                <w:bCs/>
                <w:color w:val="1F4E79" w:themeColor="accent1" w:themeShade="80"/>
                <w:sz w:val="24"/>
                <w:szCs w:val="24"/>
              </w:rPr>
            </w:pPr>
            <w:r w:rsidRPr="008B5AEF">
              <w:rPr>
                <w:rFonts w:ascii="Arial" w:hAnsi="Arial" w:cs="Arial"/>
                <w:b/>
                <w:bCs/>
                <w:color w:val="1F4E79" w:themeColor="accent1" w:themeShade="80"/>
                <w:sz w:val="24"/>
                <w:szCs w:val="24"/>
              </w:rPr>
              <w:t>Management of TEF across institution</w:t>
            </w:r>
          </w:p>
          <w:p w14:paraId="77349FDE" w14:textId="77777777" w:rsidR="007E3F4F" w:rsidRPr="008B5AEF" w:rsidRDefault="007E3F4F" w:rsidP="007C4A1C">
            <w:pPr>
              <w:rPr>
                <w:rFonts w:ascii="Arial" w:hAnsi="Arial" w:cs="Arial"/>
                <w:b/>
                <w:bCs/>
                <w:color w:val="1F4E79" w:themeColor="accent1" w:themeShade="80"/>
                <w:sz w:val="24"/>
                <w:szCs w:val="24"/>
              </w:rPr>
            </w:pPr>
          </w:p>
          <w:p w14:paraId="41180411" w14:textId="39C8AF23" w:rsidR="007E3F4F" w:rsidRPr="008B5AEF" w:rsidRDefault="007E3F4F" w:rsidP="007C4A1C">
            <w:pPr>
              <w:rPr>
                <w:rFonts w:ascii="Arial" w:hAnsi="Arial" w:cs="Arial"/>
                <w:color w:val="1F4E79" w:themeColor="accent1" w:themeShade="80"/>
                <w:sz w:val="24"/>
                <w:szCs w:val="24"/>
              </w:rPr>
            </w:pPr>
            <w:r w:rsidRPr="008B5AEF">
              <w:rPr>
                <w:rFonts w:ascii="Arial" w:hAnsi="Arial" w:cs="Arial"/>
                <w:color w:val="1F4E79" w:themeColor="accent1" w:themeShade="80"/>
                <w:sz w:val="24"/>
                <w:szCs w:val="24"/>
              </w:rPr>
              <w:t xml:space="preserve">The Chair updated members that the TEF assessment cycle is anticipated to open in September and have a submission date in December. To manage this, writing the TEF submission will begin in May. The Chair updated members that they will speak to Deans and DOTLs to organise a working group who will set a proforma for drafting the institutional framework. </w:t>
            </w:r>
            <w:r w:rsidR="009B452E" w:rsidRPr="008B5AEF">
              <w:rPr>
                <w:rFonts w:ascii="Arial" w:hAnsi="Arial" w:cs="Arial"/>
                <w:color w:val="1F4E79" w:themeColor="accent1" w:themeShade="80"/>
                <w:sz w:val="24"/>
                <w:szCs w:val="24"/>
              </w:rPr>
              <w:t xml:space="preserve">The working group will include colleagues from Student Services, Student Records, Student Finance, International Office, Registry and Students’ Union. </w:t>
            </w:r>
            <w:r w:rsidRPr="008B5AEF">
              <w:rPr>
                <w:rFonts w:ascii="Arial" w:hAnsi="Arial" w:cs="Arial"/>
                <w:color w:val="1F4E79" w:themeColor="accent1" w:themeShade="80"/>
                <w:sz w:val="24"/>
                <w:szCs w:val="24"/>
              </w:rPr>
              <w:t xml:space="preserve">The Chair noted that the proforma should include PAT policy, flying start and induction but schools can add their own practice. </w:t>
            </w:r>
          </w:p>
          <w:p w14:paraId="086561FD" w14:textId="77777777" w:rsidR="007E3F4F" w:rsidRPr="008B5AEF" w:rsidRDefault="007E3F4F" w:rsidP="007C4A1C">
            <w:pPr>
              <w:rPr>
                <w:rFonts w:ascii="Arial" w:hAnsi="Arial" w:cs="Arial"/>
                <w:color w:val="1F4E79" w:themeColor="accent1" w:themeShade="80"/>
                <w:sz w:val="24"/>
                <w:szCs w:val="24"/>
              </w:rPr>
            </w:pPr>
          </w:p>
          <w:p w14:paraId="70B0480B" w14:textId="62608D74" w:rsidR="007E3F4F" w:rsidRPr="008B5AEF" w:rsidRDefault="007E3F4F" w:rsidP="007C4A1C">
            <w:pPr>
              <w:rPr>
                <w:rFonts w:ascii="Arial" w:hAnsi="Arial" w:cs="Arial"/>
                <w:color w:val="1F4E79" w:themeColor="accent1" w:themeShade="80"/>
                <w:sz w:val="24"/>
                <w:szCs w:val="24"/>
              </w:rPr>
            </w:pPr>
            <w:r w:rsidRPr="008B5AEF">
              <w:rPr>
                <w:rFonts w:ascii="Arial" w:hAnsi="Arial" w:cs="Arial"/>
                <w:color w:val="1F4E79" w:themeColor="accent1" w:themeShade="80"/>
                <w:sz w:val="24"/>
                <w:szCs w:val="24"/>
              </w:rPr>
              <w:t xml:space="preserve">The Chair noted that </w:t>
            </w:r>
            <w:r w:rsidR="009B452E" w:rsidRPr="008B5AEF">
              <w:rPr>
                <w:rFonts w:ascii="Arial" w:hAnsi="Arial" w:cs="Arial"/>
                <w:color w:val="1F4E79" w:themeColor="accent1" w:themeShade="80"/>
                <w:sz w:val="24"/>
                <w:szCs w:val="24"/>
              </w:rPr>
              <w:t xml:space="preserve">schools must provide evidence to support their draft submissions. </w:t>
            </w:r>
          </w:p>
        </w:tc>
        <w:tc>
          <w:tcPr>
            <w:tcW w:w="2806" w:type="dxa"/>
            <w:tcBorders>
              <w:top w:val="nil"/>
              <w:left w:val="nil"/>
              <w:bottom w:val="nil"/>
              <w:right w:val="nil"/>
            </w:tcBorders>
          </w:tcPr>
          <w:p w14:paraId="35C8B373" w14:textId="398D8CB1" w:rsidR="002237F6" w:rsidRPr="008B5AEF" w:rsidRDefault="009B452E" w:rsidP="00767BCC">
            <w:pPr>
              <w:jc w:val="right"/>
              <w:rPr>
                <w:rFonts w:ascii="Arial" w:hAnsi="Arial" w:cs="Arial"/>
                <w:color w:val="1F4E79" w:themeColor="accent1" w:themeShade="80"/>
                <w:sz w:val="24"/>
                <w:szCs w:val="24"/>
              </w:rPr>
            </w:pPr>
            <w:r w:rsidRPr="008B5AEF">
              <w:rPr>
                <w:rFonts w:ascii="Arial" w:hAnsi="Arial" w:cs="Arial"/>
                <w:color w:val="1F4E79" w:themeColor="accent1" w:themeShade="80"/>
                <w:sz w:val="24"/>
                <w:szCs w:val="24"/>
              </w:rPr>
              <w:t>Chair</w:t>
            </w:r>
          </w:p>
        </w:tc>
      </w:tr>
      <w:tr w:rsidR="00767BCC" w14:paraId="6BFA7A16" w14:textId="77777777" w:rsidTr="00DF32BA">
        <w:trPr>
          <w:trHeight w:val="241"/>
        </w:trPr>
        <w:tc>
          <w:tcPr>
            <w:tcW w:w="704" w:type="dxa"/>
            <w:tcBorders>
              <w:top w:val="nil"/>
              <w:left w:val="nil"/>
              <w:bottom w:val="nil"/>
              <w:right w:val="nil"/>
            </w:tcBorders>
          </w:tcPr>
          <w:p w14:paraId="7C8DCDF4" w14:textId="0BBFFEE0" w:rsidR="00767BCC" w:rsidRPr="0037201F" w:rsidRDefault="00767BCC" w:rsidP="00767BCC">
            <w:pPr>
              <w:rPr>
                <w:rFonts w:ascii="Arial" w:hAnsi="Arial" w:cs="Arial"/>
                <w:b/>
                <w:color w:val="1F4E79" w:themeColor="accent1" w:themeShade="80"/>
                <w:sz w:val="24"/>
                <w:szCs w:val="24"/>
              </w:rPr>
            </w:pPr>
            <w:r w:rsidRPr="0037201F">
              <w:rPr>
                <w:rFonts w:ascii="Arial" w:hAnsi="Arial" w:cs="Arial"/>
                <w:b/>
                <w:color w:val="1F4E79" w:themeColor="accent1" w:themeShade="80"/>
                <w:sz w:val="24"/>
                <w:szCs w:val="24"/>
              </w:rPr>
              <w:t>4.</w:t>
            </w:r>
            <w:r w:rsidR="002237F6" w:rsidRPr="0037201F">
              <w:rPr>
                <w:rFonts w:ascii="Arial" w:hAnsi="Arial" w:cs="Arial"/>
                <w:b/>
                <w:color w:val="1F4E79" w:themeColor="accent1" w:themeShade="80"/>
                <w:sz w:val="24"/>
                <w:szCs w:val="24"/>
              </w:rPr>
              <w:t>3</w:t>
            </w:r>
          </w:p>
        </w:tc>
        <w:tc>
          <w:tcPr>
            <w:tcW w:w="6946" w:type="dxa"/>
            <w:tcBorders>
              <w:top w:val="nil"/>
              <w:left w:val="nil"/>
              <w:bottom w:val="nil"/>
              <w:right w:val="nil"/>
            </w:tcBorders>
          </w:tcPr>
          <w:p w14:paraId="3F0AFD8D" w14:textId="77777777" w:rsidR="00767BCC" w:rsidRPr="0037201F" w:rsidRDefault="00500F43" w:rsidP="00767BCC">
            <w:pPr>
              <w:rPr>
                <w:rFonts w:ascii="Arial" w:hAnsi="Arial" w:cs="Arial"/>
                <w:b/>
                <w:bCs/>
                <w:color w:val="1F4E79" w:themeColor="accent1" w:themeShade="80"/>
                <w:sz w:val="24"/>
                <w:szCs w:val="24"/>
              </w:rPr>
            </w:pPr>
            <w:r w:rsidRPr="0037201F">
              <w:rPr>
                <w:rFonts w:ascii="Arial" w:hAnsi="Arial" w:cs="Arial"/>
                <w:b/>
                <w:bCs/>
                <w:color w:val="1F4E79" w:themeColor="accent1" w:themeShade="80"/>
                <w:sz w:val="24"/>
                <w:szCs w:val="24"/>
              </w:rPr>
              <w:t>Differential attainment</w:t>
            </w:r>
          </w:p>
          <w:p w14:paraId="5FDC9973" w14:textId="77777777" w:rsidR="002F5173" w:rsidRPr="0037201F" w:rsidRDefault="002F5173" w:rsidP="00767BCC">
            <w:pPr>
              <w:rPr>
                <w:rFonts w:ascii="Arial" w:hAnsi="Arial" w:cs="Arial"/>
                <w:b/>
                <w:bCs/>
                <w:color w:val="1F4E79" w:themeColor="accent1" w:themeShade="80"/>
                <w:sz w:val="24"/>
                <w:szCs w:val="24"/>
              </w:rPr>
            </w:pPr>
          </w:p>
          <w:p w14:paraId="119D7C48" w14:textId="77777777" w:rsidR="002F5173" w:rsidRPr="0037201F" w:rsidRDefault="002F5173" w:rsidP="00767BCC">
            <w:p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 xml:space="preserve">The Chair updated members on the work undertaken in relation to differential attainment and explained that six years of data is available which will be reviewed individually for each of the six schools. It will be considered for home students only, though international student data is available. </w:t>
            </w:r>
          </w:p>
          <w:p w14:paraId="0AF82E57" w14:textId="4A17B0B1" w:rsidR="00DA2B4F" w:rsidRPr="0037201F" w:rsidRDefault="00DA2B4F" w:rsidP="00767BCC">
            <w:pPr>
              <w:rPr>
                <w:rFonts w:ascii="Arial" w:hAnsi="Arial" w:cs="Arial"/>
                <w:color w:val="1F4E79" w:themeColor="accent1" w:themeShade="80"/>
                <w:sz w:val="24"/>
                <w:szCs w:val="24"/>
              </w:rPr>
            </w:pPr>
          </w:p>
          <w:p w14:paraId="09E248A7" w14:textId="559B8B58" w:rsidR="00CF7DC2" w:rsidRPr="0037201F" w:rsidRDefault="00CF7DC2" w:rsidP="00767BCC">
            <w:p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The following points were noted:</w:t>
            </w:r>
          </w:p>
          <w:p w14:paraId="23E5C58E" w14:textId="6D18AC25" w:rsidR="00CF7DC2" w:rsidRPr="0037201F" w:rsidRDefault="00A76BBB" w:rsidP="00CF7DC2">
            <w:pPr>
              <w:pStyle w:val="ListParagraph"/>
              <w:numPr>
                <w:ilvl w:val="0"/>
                <w:numId w:val="25"/>
              </w:num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T</w:t>
            </w:r>
            <w:r w:rsidR="00DA2B4F" w:rsidRPr="0037201F">
              <w:rPr>
                <w:rFonts w:ascii="Arial" w:hAnsi="Arial" w:cs="Arial"/>
                <w:color w:val="1F4E79" w:themeColor="accent1" w:themeShade="80"/>
                <w:sz w:val="24"/>
                <w:szCs w:val="24"/>
              </w:rPr>
              <w:t>he gender balance of a school’s intake can affect their differential attainment</w:t>
            </w:r>
          </w:p>
          <w:p w14:paraId="169266E4" w14:textId="6529D353" w:rsidR="00CF7DC2" w:rsidRPr="0037201F" w:rsidRDefault="00A76BBB" w:rsidP="00CF7DC2">
            <w:pPr>
              <w:pStyle w:val="ListParagraph"/>
              <w:numPr>
                <w:ilvl w:val="0"/>
                <w:numId w:val="25"/>
              </w:num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T</w:t>
            </w:r>
            <w:r w:rsidR="00DA2B4F" w:rsidRPr="0037201F">
              <w:rPr>
                <w:rFonts w:ascii="Arial" w:hAnsi="Arial" w:cs="Arial"/>
                <w:color w:val="1F4E79" w:themeColor="accent1" w:themeShade="80"/>
                <w:sz w:val="24"/>
                <w:szCs w:val="24"/>
              </w:rPr>
              <w:t>he intake of the lower socioeconomic groups is hig</w:t>
            </w:r>
            <w:r w:rsidR="00CF7DC2" w:rsidRPr="0037201F">
              <w:rPr>
                <w:rFonts w:ascii="Arial" w:hAnsi="Arial" w:cs="Arial"/>
                <w:color w:val="1F4E79" w:themeColor="accent1" w:themeShade="80"/>
                <w:sz w:val="24"/>
                <w:szCs w:val="24"/>
              </w:rPr>
              <w:t>h</w:t>
            </w:r>
            <w:r w:rsidR="00DA2B4F" w:rsidRPr="0037201F">
              <w:rPr>
                <w:rFonts w:ascii="Arial" w:hAnsi="Arial" w:cs="Arial"/>
                <w:color w:val="1F4E79" w:themeColor="accent1" w:themeShade="80"/>
                <w:sz w:val="24"/>
                <w:szCs w:val="24"/>
              </w:rPr>
              <w:t xml:space="preserve"> </w:t>
            </w:r>
          </w:p>
          <w:p w14:paraId="38B2245F" w14:textId="77777777" w:rsidR="00CF7DC2" w:rsidRPr="0037201F" w:rsidRDefault="00DA2B4F" w:rsidP="00767BCC">
            <w:pPr>
              <w:pStyle w:val="ListParagraph"/>
              <w:numPr>
                <w:ilvl w:val="0"/>
                <w:numId w:val="25"/>
              </w:num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lastRenderedPageBreak/>
              <w:t>around 70% of students are from the lowest socioeconomic backgrounds which has known support implications</w:t>
            </w:r>
          </w:p>
          <w:p w14:paraId="4D1B1B3A" w14:textId="77777777" w:rsidR="00CF7DC2" w:rsidRPr="0037201F" w:rsidRDefault="00A42C15" w:rsidP="00767BCC">
            <w:pPr>
              <w:pStyle w:val="ListParagraph"/>
              <w:numPr>
                <w:ilvl w:val="0"/>
                <w:numId w:val="25"/>
              </w:num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 xml:space="preserve">For ethnicity data, by using </w:t>
            </w:r>
            <w:proofErr w:type="spellStart"/>
            <w:r w:rsidRPr="0037201F">
              <w:rPr>
                <w:rFonts w:ascii="Arial" w:hAnsi="Arial" w:cs="Arial"/>
                <w:color w:val="1F4E79" w:themeColor="accent1" w:themeShade="80"/>
                <w:sz w:val="24"/>
                <w:szCs w:val="24"/>
              </w:rPr>
              <w:t>OfS</w:t>
            </w:r>
            <w:proofErr w:type="spellEnd"/>
            <w:r w:rsidRPr="0037201F">
              <w:rPr>
                <w:rFonts w:ascii="Arial" w:hAnsi="Arial" w:cs="Arial"/>
                <w:color w:val="1F4E79" w:themeColor="accent1" w:themeShade="80"/>
                <w:sz w:val="24"/>
                <w:szCs w:val="24"/>
              </w:rPr>
              <w:t xml:space="preserve"> data, due to the numbers of students from Asian backgrounds, it could be noted that white student numbers are falling and increasing Asian students </w:t>
            </w:r>
            <w:r w:rsidR="00B90497" w:rsidRPr="0037201F">
              <w:rPr>
                <w:rFonts w:ascii="Arial" w:hAnsi="Arial" w:cs="Arial"/>
                <w:color w:val="1F4E79" w:themeColor="accent1" w:themeShade="80"/>
                <w:sz w:val="24"/>
                <w:szCs w:val="24"/>
              </w:rPr>
              <w:t>are driving the increase in students in lower socioeconomic backgrounds</w:t>
            </w:r>
          </w:p>
          <w:p w14:paraId="0302E531" w14:textId="77777777" w:rsidR="00A76BBB" w:rsidRPr="0037201F" w:rsidRDefault="00B90497" w:rsidP="00B7669E">
            <w:pPr>
              <w:pStyle w:val="ListParagraph"/>
              <w:numPr>
                <w:ilvl w:val="0"/>
                <w:numId w:val="25"/>
              </w:num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 xml:space="preserve">The students of a white background are found within all socioeconomic </w:t>
            </w:r>
            <w:proofErr w:type="gramStart"/>
            <w:r w:rsidRPr="0037201F">
              <w:rPr>
                <w:rFonts w:ascii="Arial" w:hAnsi="Arial" w:cs="Arial"/>
                <w:color w:val="1F4E79" w:themeColor="accent1" w:themeShade="80"/>
                <w:sz w:val="24"/>
                <w:szCs w:val="24"/>
              </w:rPr>
              <w:t>groups</w:t>
            </w:r>
            <w:proofErr w:type="gramEnd"/>
            <w:r w:rsidRPr="0037201F">
              <w:rPr>
                <w:rFonts w:ascii="Arial" w:hAnsi="Arial" w:cs="Arial"/>
                <w:color w:val="1F4E79" w:themeColor="accent1" w:themeShade="80"/>
                <w:sz w:val="24"/>
                <w:szCs w:val="24"/>
              </w:rPr>
              <w:t xml:space="preserve"> but </w:t>
            </w:r>
            <w:r w:rsidR="008666B7" w:rsidRPr="0037201F">
              <w:rPr>
                <w:rFonts w:ascii="Arial" w:hAnsi="Arial" w:cs="Arial"/>
                <w:color w:val="1F4E79" w:themeColor="accent1" w:themeShade="80"/>
                <w:sz w:val="24"/>
                <w:szCs w:val="24"/>
              </w:rPr>
              <w:t>the students of black and Asian backgrounds are in the lower groups as a majority</w:t>
            </w:r>
          </w:p>
          <w:p w14:paraId="448522EA" w14:textId="7200D8FC" w:rsidR="008666B7" w:rsidRPr="0037201F" w:rsidRDefault="00A76BBB" w:rsidP="00B7669E">
            <w:pPr>
              <w:pStyle w:val="ListParagraph"/>
              <w:numPr>
                <w:ilvl w:val="0"/>
                <w:numId w:val="25"/>
              </w:num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The</w:t>
            </w:r>
            <w:r w:rsidR="008666B7" w:rsidRPr="0037201F">
              <w:rPr>
                <w:rFonts w:ascii="Arial" w:hAnsi="Arial" w:cs="Arial"/>
                <w:color w:val="1F4E79" w:themeColor="accent1" w:themeShade="80"/>
                <w:sz w:val="24"/>
                <w:szCs w:val="24"/>
              </w:rPr>
              <w:t xml:space="preserve"> attainment gap is 9% now and previously had been 11% and the sector difference is 15% (used to be 25%), therefore while we are performing better than the sector, there is still a gap present</w:t>
            </w:r>
          </w:p>
          <w:p w14:paraId="0A04CC43" w14:textId="77777777" w:rsidR="008666B7" w:rsidRPr="0037201F" w:rsidRDefault="008666B7" w:rsidP="00767BCC">
            <w:pPr>
              <w:rPr>
                <w:rFonts w:ascii="Arial" w:hAnsi="Arial" w:cs="Arial"/>
                <w:color w:val="1F4E79" w:themeColor="accent1" w:themeShade="80"/>
                <w:sz w:val="24"/>
                <w:szCs w:val="24"/>
              </w:rPr>
            </w:pPr>
          </w:p>
          <w:p w14:paraId="1BB821CD" w14:textId="77777777" w:rsidR="008666B7" w:rsidRPr="0037201F" w:rsidRDefault="008666B7" w:rsidP="00767BCC">
            <w:p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 xml:space="preserve">The Chair confirmed they will speak to schools and that while the gap is closing in most schools and areas, it is widening in some areas of AS, HHS and CE. </w:t>
            </w:r>
          </w:p>
          <w:p w14:paraId="3FF8B63E" w14:textId="77777777" w:rsidR="008666B7" w:rsidRPr="0037201F" w:rsidRDefault="008666B7" w:rsidP="00767BCC">
            <w:pPr>
              <w:rPr>
                <w:rFonts w:ascii="Arial" w:hAnsi="Arial" w:cs="Arial"/>
                <w:color w:val="1F4E79" w:themeColor="accent1" w:themeShade="80"/>
                <w:sz w:val="24"/>
                <w:szCs w:val="24"/>
              </w:rPr>
            </w:pPr>
          </w:p>
          <w:p w14:paraId="4B66D7D8" w14:textId="77777777" w:rsidR="00A76BBB" w:rsidRPr="0037201F" w:rsidRDefault="008666B7" w:rsidP="00767BCC">
            <w:p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The Chair confirmed good outcomes are found for the various entry qualifications and the gap present here has reduced gradually</w:t>
            </w:r>
            <w:r w:rsidR="00DE5F5F" w:rsidRPr="0037201F">
              <w:rPr>
                <w:rFonts w:ascii="Arial" w:hAnsi="Arial" w:cs="Arial"/>
                <w:color w:val="1F4E79" w:themeColor="accent1" w:themeShade="80"/>
                <w:sz w:val="24"/>
                <w:szCs w:val="24"/>
              </w:rPr>
              <w:t xml:space="preserve">. It was noted BAME students achieve good outcomes at a better rate than the sector and it was confirmed that the full breakdown of data will be available to schools. </w:t>
            </w:r>
          </w:p>
          <w:p w14:paraId="3BEADCE1" w14:textId="77777777" w:rsidR="00A76BBB" w:rsidRPr="0037201F" w:rsidRDefault="00A76BBB" w:rsidP="00767BCC">
            <w:pPr>
              <w:rPr>
                <w:rFonts w:ascii="Arial" w:hAnsi="Arial" w:cs="Arial"/>
                <w:color w:val="1F4E79" w:themeColor="accent1" w:themeShade="80"/>
                <w:sz w:val="24"/>
                <w:szCs w:val="24"/>
              </w:rPr>
            </w:pPr>
          </w:p>
          <w:p w14:paraId="217E49CF" w14:textId="43735E06" w:rsidR="008666B7" w:rsidRPr="0037201F" w:rsidRDefault="00DE5F5F" w:rsidP="00767BCC">
            <w:pPr>
              <w:rPr>
                <w:rFonts w:ascii="Arial" w:hAnsi="Arial" w:cs="Arial"/>
                <w:color w:val="1F4E79" w:themeColor="accent1" w:themeShade="80"/>
                <w:sz w:val="24"/>
                <w:szCs w:val="24"/>
              </w:rPr>
            </w:pPr>
            <w:r w:rsidRPr="0037201F">
              <w:rPr>
                <w:rFonts w:ascii="Arial" w:hAnsi="Arial" w:cs="Arial"/>
                <w:color w:val="1F4E79" w:themeColor="accent1" w:themeShade="80"/>
                <w:sz w:val="24"/>
                <w:szCs w:val="24"/>
              </w:rPr>
              <w:t xml:space="preserve">It was noted that the differential attainment categories to be reviewed would additionally include commuter and disability students in addition to ethnicity, gender, </w:t>
            </w:r>
            <w:proofErr w:type="gramStart"/>
            <w:r w:rsidRPr="0037201F">
              <w:rPr>
                <w:rFonts w:ascii="Arial" w:hAnsi="Arial" w:cs="Arial"/>
                <w:color w:val="1F4E79" w:themeColor="accent1" w:themeShade="80"/>
                <w:sz w:val="24"/>
                <w:szCs w:val="24"/>
              </w:rPr>
              <w:t>qualification</w:t>
            </w:r>
            <w:proofErr w:type="gramEnd"/>
            <w:r w:rsidRPr="0037201F">
              <w:rPr>
                <w:rFonts w:ascii="Arial" w:hAnsi="Arial" w:cs="Arial"/>
                <w:color w:val="1F4E79" w:themeColor="accent1" w:themeShade="80"/>
                <w:sz w:val="24"/>
                <w:szCs w:val="24"/>
              </w:rPr>
              <w:t xml:space="preserve"> and socioeconomic groups and this would allow the intersection to be reviewed as schools can be affected by different issues. This should lead to departments and courses being tailored to suit the intake and needs presented. It was noted that students who have studied BTECs do not perform as well as those who have studied A-levels</w:t>
            </w:r>
            <w:r w:rsidR="004D5487" w:rsidRPr="0037201F">
              <w:rPr>
                <w:rFonts w:ascii="Arial" w:hAnsi="Arial" w:cs="Arial"/>
                <w:color w:val="1F4E79" w:themeColor="accent1" w:themeShade="80"/>
                <w:sz w:val="24"/>
                <w:szCs w:val="24"/>
              </w:rPr>
              <w:t xml:space="preserve"> and it may require more diverse learning and assessment practices. Furthermore, it was noted BTECs may phase out as T-Levels are rolled out. </w:t>
            </w:r>
          </w:p>
          <w:p w14:paraId="76AFA427" w14:textId="77777777" w:rsidR="004D5487" w:rsidRPr="0037201F" w:rsidRDefault="004D5487" w:rsidP="00767BCC">
            <w:pPr>
              <w:rPr>
                <w:rFonts w:ascii="Arial" w:hAnsi="Arial" w:cs="Arial"/>
                <w:color w:val="1F4E79" w:themeColor="accent1" w:themeShade="80"/>
                <w:sz w:val="24"/>
                <w:szCs w:val="24"/>
              </w:rPr>
            </w:pPr>
          </w:p>
          <w:p w14:paraId="67230D70" w14:textId="3DED58F1" w:rsidR="004D5487" w:rsidRPr="002F5173" w:rsidRDefault="004D5487" w:rsidP="00767BCC">
            <w:pPr>
              <w:rPr>
                <w:rFonts w:ascii="Arial" w:hAnsi="Arial" w:cs="Arial"/>
                <w:color w:val="000000" w:themeColor="text1"/>
              </w:rPr>
            </w:pPr>
            <w:r w:rsidRPr="0037201F">
              <w:rPr>
                <w:rFonts w:ascii="Arial" w:hAnsi="Arial" w:cs="Arial"/>
                <w:color w:val="1F4E79" w:themeColor="accent1" w:themeShade="80"/>
                <w:sz w:val="24"/>
                <w:szCs w:val="24"/>
              </w:rPr>
              <w:t>It was confirmed that this would be reviewed by July 2024 and involve presentations and workshops in the meantime.</w:t>
            </w:r>
            <w:r w:rsidRPr="0037201F">
              <w:rPr>
                <w:rFonts w:ascii="Arial" w:hAnsi="Arial" w:cs="Arial"/>
                <w:color w:val="1F4E79" w:themeColor="accent1" w:themeShade="80"/>
              </w:rPr>
              <w:t xml:space="preserve"> </w:t>
            </w:r>
          </w:p>
        </w:tc>
        <w:tc>
          <w:tcPr>
            <w:tcW w:w="2806" w:type="dxa"/>
            <w:tcBorders>
              <w:top w:val="nil"/>
              <w:left w:val="nil"/>
              <w:bottom w:val="nil"/>
              <w:right w:val="nil"/>
            </w:tcBorders>
          </w:tcPr>
          <w:p w14:paraId="46C76F02" w14:textId="77777777" w:rsidR="00767BCC" w:rsidRPr="00E10574" w:rsidRDefault="00767BCC" w:rsidP="00767BCC">
            <w:pPr>
              <w:jc w:val="right"/>
              <w:rPr>
                <w:rFonts w:ascii="Arial" w:hAnsi="Arial" w:cs="Arial"/>
                <w:sz w:val="20"/>
                <w:szCs w:val="20"/>
              </w:rPr>
            </w:pPr>
          </w:p>
        </w:tc>
      </w:tr>
      <w:tr w:rsidR="002237F6" w14:paraId="3C7BF024" w14:textId="77777777" w:rsidTr="00DF32BA">
        <w:trPr>
          <w:trHeight w:val="256"/>
        </w:trPr>
        <w:tc>
          <w:tcPr>
            <w:tcW w:w="704" w:type="dxa"/>
            <w:tcBorders>
              <w:top w:val="nil"/>
              <w:left w:val="nil"/>
              <w:bottom w:val="nil"/>
              <w:right w:val="nil"/>
            </w:tcBorders>
          </w:tcPr>
          <w:p w14:paraId="4F4F12F2" w14:textId="01A7BC29" w:rsidR="002237F6" w:rsidRPr="00300B68" w:rsidRDefault="002237F6" w:rsidP="00767BCC">
            <w:pPr>
              <w:rPr>
                <w:rFonts w:ascii="Arial" w:hAnsi="Arial" w:cs="Arial"/>
                <w:b/>
                <w:color w:val="1F4E79" w:themeColor="accent1" w:themeShade="80"/>
                <w:sz w:val="24"/>
                <w:szCs w:val="24"/>
              </w:rPr>
            </w:pPr>
            <w:r w:rsidRPr="00300B68">
              <w:rPr>
                <w:rFonts w:ascii="Arial" w:hAnsi="Arial" w:cs="Arial"/>
                <w:b/>
                <w:color w:val="1F4E79" w:themeColor="accent1" w:themeShade="80"/>
                <w:sz w:val="24"/>
                <w:szCs w:val="24"/>
              </w:rPr>
              <w:t>4.4</w:t>
            </w:r>
          </w:p>
        </w:tc>
        <w:tc>
          <w:tcPr>
            <w:tcW w:w="6946" w:type="dxa"/>
            <w:tcBorders>
              <w:top w:val="nil"/>
              <w:left w:val="nil"/>
              <w:bottom w:val="nil"/>
              <w:right w:val="nil"/>
            </w:tcBorders>
          </w:tcPr>
          <w:p w14:paraId="399EB189" w14:textId="77777777" w:rsidR="002237F6" w:rsidRPr="00300B68" w:rsidRDefault="002237F6" w:rsidP="00767BCC">
            <w:pPr>
              <w:rPr>
                <w:rFonts w:ascii="Arial" w:hAnsi="Arial" w:cs="Arial"/>
                <w:b/>
                <w:bCs/>
                <w:color w:val="1F4E79" w:themeColor="accent1" w:themeShade="80"/>
                <w:sz w:val="24"/>
                <w:szCs w:val="24"/>
              </w:rPr>
            </w:pPr>
            <w:r w:rsidRPr="00300B68">
              <w:rPr>
                <w:rFonts w:ascii="Arial" w:hAnsi="Arial" w:cs="Arial"/>
                <w:b/>
                <w:bCs/>
                <w:color w:val="1F4E79" w:themeColor="accent1" w:themeShade="80"/>
                <w:sz w:val="24"/>
                <w:szCs w:val="24"/>
              </w:rPr>
              <w:t>HHS</w:t>
            </w:r>
          </w:p>
          <w:p w14:paraId="5C80CFEA" w14:textId="77777777" w:rsidR="009B452E" w:rsidRPr="00300B68" w:rsidRDefault="009B452E" w:rsidP="00767BCC">
            <w:pPr>
              <w:rPr>
                <w:rFonts w:ascii="Arial" w:hAnsi="Arial" w:cs="Arial"/>
                <w:b/>
                <w:bCs/>
                <w:color w:val="1F4E79" w:themeColor="accent1" w:themeShade="80"/>
                <w:sz w:val="24"/>
                <w:szCs w:val="24"/>
              </w:rPr>
            </w:pPr>
          </w:p>
          <w:p w14:paraId="0E8A6C1A" w14:textId="77777777" w:rsidR="009B452E" w:rsidRPr="00300B68" w:rsidRDefault="009B452E" w:rsidP="00767BCC">
            <w:pPr>
              <w:rPr>
                <w:rFonts w:ascii="Arial" w:hAnsi="Arial" w:cs="Arial"/>
                <w:color w:val="1F4E79" w:themeColor="accent1" w:themeShade="80"/>
                <w:sz w:val="24"/>
                <w:szCs w:val="24"/>
              </w:rPr>
            </w:pPr>
            <w:r w:rsidRPr="00300B68">
              <w:rPr>
                <w:rFonts w:ascii="Arial" w:hAnsi="Arial" w:cs="Arial"/>
                <w:color w:val="1F4E79" w:themeColor="accent1" w:themeShade="80"/>
                <w:sz w:val="24"/>
                <w:szCs w:val="24"/>
              </w:rPr>
              <w:t xml:space="preserve">The Chair updated members on the results of the HSS and noted that all schools showed increased scores. The Chair noted some specific good performances in EPD and SAH and reported that the change from 2020/21 to 2021/22 is an average increase of 6%. The Chair passed congratulations to all colleagues for their work. </w:t>
            </w:r>
          </w:p>
          <w:p w14:paraId="18C7812D" w14:textId="77777777" w:rsidR="009B452E" w:rsidRPr="00300B68" w:rsidRDefault="009B452E" w:rsidP="00767BCC">
            <w:pPr>
              <w:rPr>
                <w:rFonts w:ascii="Arial" w:hAnsi="Arial" w:cs="Arial"/>
                <w:color w:val="1F4E79" w:themeColor="accent1" w:themeShade="80"/>
                <w:sz w:val="24"/>
                <w:szCs w:val="24"/>
              </w:rPr>
            </w:pPr>
          </w:p>
          <w:p w14:paraId="0B1218B7" w14:textId="77777777" w:rsidR="009B452E" w:rsidRPr="00300B68" w:rsidRDefault="009B452E" w:rsidP="00767BCC">
            <w:pPr>
              <w:rPr>
                <w:rFonts w:ascii="Arial" w:hAnsi="Arial" w:cs="Arial"/>
                <w:color w:val="1F4E79" w:themeColor="accent1" w:themeShade="80"/>
                <w:sz w:val="24"/>
                <w:szCs w:val="24"/>
              </w:rPr>
            </w:pPr>
            <w:r w:rsidRPr="00300B68">
              <w:rPr>
                <w:rFonts w:ascii="Arial" w:hAnsi="Arial" w:cs="Arial"/>
                <w:color w:val="1F4E79" w:themeColor="accent1" w:themeShade="80"/>
                <w:sz w:val="24"/>
                <w:szCs w:val="24"/>
              </w:rPr>
              <w:t>The Chair reported that the data for this year has been compared against last year</w:t>
            </w:r>
            <w:r w:rsidR="00DD032D" w:rsidRPr="00300B68">
              <w:rPr>
                <w:rFonts w:ascii="Arial" w:hAnsi="Arial" w:cs="Arial"/>
                <w:color w:val="1F4E79" w:themeColor="accent1" w:themeShade="80"/>
                <w:sz w:val="24"/>
                <w:szCs w:val="24"/>
              </w:rPr>
              <w:t xml:space="preserve"> and shows that the drop in scores due to the covid impact has been regained. The Chair updated that the scores should reflect into the NSS.</w:t>
            </w:r>
          </w:p>
          <w:p w14:paraId="65428188" w14:textId="77777777" w:rsidR="00F15FAC" w:rsidRPr="00300B68" w:rsidRDefault="00F15FAC" w:rsidP="00767BCC">
            <w:pPr>
              <w:rPr>
                <w:rFonts w:ascii="Arial" w:hAnsi="Arial" w:cs="Arial"/>
                <w:color w:val="1F4E79" w:themeColor="accent1" w:themeShade="80"/>
                <w:sz w:val="24"/>
                <w:szCs w:val="24"/>
              </w:rPr>
            </w:pPr>
          </w:p>
          <w:p w14:paraId="6A42C6B4" w14:textId="4E135DC7" w:rsidR="00F15FAC" w:rsidRPr="00300B68" w:rsidRDefault="00F15FAC" w:rsidP="00767BCC">
            <w:pPr>
              <w:rPr>
                <w:rFonts w:ascii="Arial" w:hAnsi="Arial" w:cs="Arial"/>
                <w:color w:val="1F4E79" w:themeColor="accent1" w:themeShade="80"/>
                <w:sz w:val="24"/>
                <w:szCs w:val="24"/>
              </w:rPr>
            </w:pPr>
            <w:r w:rsidRPr="00300B68">
              <w:rPr>
                <w:rFonts w:ascii="Arial" w:hAnsi="Arial" w:cs="Arial"/>
                <w:color w:val="1F4E79" w:themeColor="accent1" w:themeShade="80"/>
                <w:sz w:val="24"/>
                <w:szCs w:val="24"/>
              </w:rPr>
              <w:t>The Chair noted that issues were reported with organisation and management and increase</w:t>
            </w:r>
            <w:r w:rsidR="009A17EA" w:rsidRPr="00300B68">
              <w:rPr>
                <w:rFonts w:ascii="Arial" w:hAnsi="Arial" w:cs="Arial"/>
                <w:color w:val="1F4E79" w:themeColor="accent1" w:themeShade="80"/>
                <w:sz w:val="24"/>
                <w:szCs w:val="24"/>
              </w:rPr>
              <w:t>s</w:t>
            </w:r>
            <w:r w:rsidRPr="00300B68">
              <w:rPr>
                <w:rFonts w:ascii="Arial" w:hAnsi="Arial" w:cs="Arial"/>
                <w:color w:val="1F4E79" w:themeColor="accent1" w:themeShade="80"/>
                <w:sz w:val="24"/>
                <w:szCs w:val="24"/>
              </w:rPr>
              <w:t xml:space="preserve"> had been reported with feedback opportunities. The Chair confirmed that the data for specifics courses in schools would be available where issues were </w:t>
            </w:r>
            <w:r w:rsidR="009A17EA" w:rsidRPr="00300B68">
              <w:rPr>
                <w:rFonts w:ascii="Arial" w:hAnsi="Arial" w:cs="Arial"/>
                <w:color w:val="1F4E79" w:themeColor="accent1" w:themeShade="80"/>
                <w:sz w:val="24"/>
                <w:szCs w:val="24"/>
              </w:rPr>
              <w:t>reported,</w:t>
            </w:r>
            <w:r w:rsidRPr="00300B68">
              <w:rPr>
                <w:rFonts w:ascii="Arial" w:hAnsi="Arial" w:cs="Arial"/>
                <w:color w:val="1F4E79" w:themeColor="accent1" w:themeShade="80"/>
                <w:sz w:val="24"/>
                <w:szCs w:val="24"/>
              </w:rPr>
              <w:t xml:space="preserve"> and improvements were identified. </w:t>
            </w:r>
          </w:p>
          <w:p w14:paraId="581E7339" w14:textId="77777777" w:rsidR="00F15FAC" w:rsidRPr="00300B68" w:rsidRDefault="00F15FAC" w:rsidP="00767BCC">
            <w:pPr>
              <w:rPr>
                <w:rFonts w:ascii="Arial" w:hAnsi="Arial" w:cs="Arial"/>
                <w:color w:val="1F4E79" w:themeColor="accent1" w:themeShade="80"/>
                <w:sz w:val="24"/>
                <w:szCs w:val="24"/>
              </w:rPr>
            </w:pPr>
          </w:p>
          <w:p w14:paraId="25473534" w14:textId="20DD7317" w:rsidR="00F15FAC" w:rsidRPr="00300B68" w:rsidRDefault="00F15FAC" w:rsidP="00767BCC">
            <w:pPr>
              <w:rPr>
                <w:rFonts w:ascii="Arial" w:hAnsi="Arial" w:cs="Arial"/>
                <w:color w:val="1F4E79" w:themeColor="accent1" w:themeShade="80"/>
                <w:sz w:val="24"/>
                <w:szCs w:val="24"/>
              </w:rPr>
            </w:pPr>
            <w:r w:rsidRPr="00300B68">
              <w:rPr>
                <w:rFonts w:ascii="Arial" w:hAnsi="Arial" w:cs="Arial"/>
                <w:color w:val="1F4E79" w:themeColor="accent1" w:themeShade="80"/>
                <w:sz w:val="24"/>
                <w:szCs w:val="24"/>
              </w:rPr>
              <w:t xml:space="preserve">The Chair noted that some courses reported 100% </w:t>
            </w:r>
            <w:r w:rsidR="009A17EA" w:rsidRPr="00300B68">
              <w:rPr>
                <w:rFonts w:ascii="Arial" w:hAnsi="Arial" w:cs="Arial"/>
                <w:color w:val="1F4E79" w:themeColor="accent1" w:themeShade="80"/>
                <w:sz w:val="24"/>
                <w:szCs w:val="24"/>
              </w:rPr>
              <w:t>satisfaction,</w:t>
            </w:r>
            <w:r w:rsidRPr="00300B68">
              <w:rPr>
                <w:rFonts w:ascii="Arial" w:hAnsi="Arial" w:cs="Arial"/>
                <w:color w:val="1F4E79" w:themeColor="accent1" w:themeShade="80"/>
                <w:sz w:val="24"/>
                <w:szCs w:val="24"/>
              </w:rPr>
              <w:t xml:space="preserve"> and this was found in all schools across a range of courses</w:t>
            </w:r>
            <w:r w:rsidR="009A17EA" w:rsidRPr="00300B68">
              <w:rPr>
                <w:rFonts w:ascii="Arial" w:hAnsi="Arial" w:cs="Arial"/>
                <w:color w:val="1F4E79" w:themeColor="accent1" w:themeShade="80"/>
                <w:sz w:val="24"/>
                <w:szCs w:val="24"/>
              </w:rPr>
              <w:t xml:space="preserve">. </w:t>
            </w:r>
            <w:r w:rsidR="00300B68" w:rsidRPr="00300B68">
              <w:rPr>
                <w:rFonts w:ascii="Arial" w:hAnsi="Arial" w:cs="Arial"/>
                <w:color w:val="1F4E79" w:themeColor="accent1" w:themeShade="80"/>
                <w:sz w:val="24"/>
                <w:szCs w:val="24"/>
              </w:rPr>
              <w:t>All</w:t>
            </w:r>
            <w:r w:rsidR="009A17EA" w:rsidRPr="00300B68">
              <w:rPr>
                <w:rFonts w:ascii="Arial" w:hAnsi="Arial" w:cs="Arial"/>
                <w:color w:val="1F4E79" w:themeColor="accent1" w:themeShade="80"/>
                <w:sz w:val="24"/>
                <w:szCs w:val="24"/>
              </w:rPr>
              <w:t xml:space="preserve"> the data will be provided to schools split by course and route and will include any anonymous comments.</w:t>
            </w:r>
          </w:p>
          <w:p w14:paraId="60B44F03" w14:textId="77777777" w:rsidR="00E47A83" w:rsidRPr="00300B68" w:rsidRDefault="00E47A83" w:rsidP="00767BCC">
            <w:pPr>
              <w:rPr>
                <w:rFonts w:ascii="Arial" w:hAnsi="Arial" w:cs="Arial"/>
                <w:color w:val="1F4E79" w:themeColor="accent1" w:themeShade="80"/>
                <w:sz w:val="24"/>
                <w:szCs w:val="24"/>
              </w:rPr>
            </w:pPr>
          </w:p>
          <w:p w14:paraId="2796A116" w14:textId="4D520AA7" w:rsidR="00E47A83" w:rsidRPr="00300B68" w:rsidRDefault="00E47A83" w:rsidP="00767BCC">
            <w:pPr>
              <w:rPr>
                <w:rFonts w:ascii="Arial" w:hAnsi="Arial" w:cs="Arial"/>
                <w:color w:val="1F4E79" w:themeColor="accent1" w:themeShade="80"/>
                <w:sz w:val="24"/>
                <w:szCs w:val="24"/>
              </w:rPr>
            </w:pPr>
            <w:r w:rsidRPr="00300B68">
              <w:rPr>
                <w:rFonts w:ascii="Arial" w:hAnsi="Arial" w:cs="Arial"/>
                <w:color w:val="1F4E79" w:themeColor="accent1" w:themeShade="80"/>
                <w:sz w:val="24"/>
                <w:szCs w:val="24"/>
              </w:rPr>
              <w:t xml:space="preserve">The Chair confirmed the worst performing area had been timetabling and was less to do with timetabling changes but more to do with the gaps in a day’s timetabled </w:t>
            </w:r>
            <w:r w:rsidR="00CD5D37" w:rsidRPr="00300B68">
              <w:rPr>
                <w:rFonts w:ascii="Arial" w:hAnsi="Arial" w:cs="Arial"/>
                <w:color w:val="1F4E79" w:themeColor="accent1" w:themeShade="80"/>
                <w:sz w:val="24"/>
                <w:szCs w:val="24"/>
              </w:rPr>
              <w:t>activities</w:t>
            </w:r>
            <w:r w:rsidRPr="00300B68">
              <w:rPr>
                <w:rFonts w:ascii="Arial" w:hAnsi="Arial" w:cs="Arial"/>
                <w:color w:val="1F4E79" w:themeColor="accent1" w:themeShade="80"/>
                <w:sz w:val="24"/>
                <w:szCs w:val="24"/>
              </w:rPr>
              <w:t>.</w:t>
            </w:r>
            <w:r w:rsidR="00CD5D37" w:rsidRPr="00300B68">
              <w:rPr>
                <w:rFonts w:ascii="Arial" w:hAnsi="Arial" w:cs="Arial"/>
                <w:color w:val="1F4E79" w:themeColor="accent1" w:themeShade="80"/>
                <w:sz w:val="24"/>
                <w:szCs w:val="24"/>
              </w:rPr>
              <w:t xml:space="preserve"> This is complex and may be hard to untangle with time constraints</w:t>
            </w:r>
            <w:r w:rsidR="00C131D3" w:rsidRPr="00300B68">
              <w:rPr>
                <w:rFonts w:ascii="Arial" w:hAnsi="Arial" w:cs="Arial"/>
                <w:color w:val="1F4E79" w:themeColor="accent1" w:themeShade="80"/>
                <w:sz w:val="24"/>
                <w:szCs w:val="24"/>
              </w:rPr>
              <w:t xml:space="preserve">. It was noted it can be linked to the balance of providing choice to students which then presents timetabling issues. Keith McCabe confirmed the data can be provided on course and module level. The Chair confirmed that the issues with timetables can be looked at </w:t>
            </w:r>
            <w:r w:rsidR="00DA5E4A" w:rsidRPr="00300B68">
              <w:rPr>
                <w:rFonts w:ascii="Arial" w:hAnsi="Arial" w:cs="Arial"/>
                <w:color w:val="1F4E79" w:themeColor="accent1" w:themeShade="80"/>
                <w:sz w:val="24"/>
                <w:szCs w:val="24"/>
              </w:rPr>
              <w:t xml:space="preserve">in part of a curriculum review and without affecting courses, efficiencies can be sought to improve student satisfaction. </w:t>
            </w:r>
          </w:p>
        </w:tc>
        <w:tc>
          <w:tcPr>
            <w:tcW w:w="2806" w:type="dxa"/>
            <w:tcBorders>
              <w:top w:val="nil"/>
              <w:left w:val="nil"/>
              <w:bottom w:val="nil"/>
              <w:right w:val="nil"/>
            </w:tcBorders>
          </w:tcPr>
          <w:p w14:paraId="58AE944B" w14:textId="77777777" w:rsidR="002237F6" w:rsidRPr="00E10574" w:rsidRDefault="002237F6" w:rsidP="00767BCC">
            <w:pPr>
              <w:jc w:val="right"/>
              <w:rPr>
                <w:rFonts w:ascii="Arial" w:hAnsi="Arial" w:cs="Arial"/>
                <w:sz w:val="20"/>
                <w:szCs w:val="20"/>
              </w:rPr>
            </w:pPr>
          </w:p>
        </w:tc>
      </w:tr>
      <w:tr w:rsidR="00E80CB2" w14:paraId="431E25D6" w14:textId="77777777" w:rsidTr="00DF32BA">
        <w:trPr>
          <w:trHeight w:val="512"/>
        </w:trPr>
        <w:tc>
          <w:tcPr>
            <w:tcW w:w="704" w:type="dxa"/>
            <w:tcBorders>
              <w:top w:val="nil"/>
              <w:left w:val="nil"/>
              <w:bottom w:val="nil"/>
              <w:right w:val="nil"/>
            </w:tcBorders>
          </w:tcPr>
          <w:p w14:paraId="5CAD5303" w14:textId="298BFBEE" w:rsidR="00E80CB2" w:rsidRPr="00D8427B" w:rsidRDefault="00E80CB2" w:rsidP="00767BCC">
            <w:pPr>
              <w:rPr>
                <w:rFonts w:ascii="Arial" w:hAnsi="Arial" w:cs="Arial"/>
                <w:b/>
                <w:color w:val="1F4E79" w:themeColor="accent1" w:themeShade="80"/>
                <w:sz w:val="24"/>
                <w:szCs w:val="24"/>
              </w:rPr>
            </w:pPr>
            <w:r w:rsidRPr="00D8427B">
              <w:rPr>
                <w:rFonts w:ascii="Arial" w:hAnsi="Arial" w:cs="Arial"/>
                <w:b/>
                <w:color w:val="1F4E79" w:themeColor="accent1" w:themeShade="80"/>
                <w:sz w:val="24"/>
                <w:szCs w:val="24"/>
              </w:rPr>
              <w:t>4.5</w:t>
            </w:r>
          </w:p>
        </w:tc>
        <w:tc>
          <w:tcPr>
            <w:tcW w:w="6946" w:type="dxa"/>
            <w:tcBorders>
              <w:top w:val="nil"/>
              <w:left w:val="nil"/>
              <w:bottom w:val="nil"/>
              <w:right w:val="nil"/>
            </w:tcBorders>
          </w:tcPr>
          <w:p w14:paraId="77AB6836" w14:textId="77777777" w:rsidR="00E80CB2" w:rsidRPr="00D8427B" w:rsidRDefault="00E80CB2" w:rsidP="00767BCC">
            <w:pPr>
              <w:rPr>
                <w:rFonts w:ascii="Arial" w:hAnsi="Arial" w:cs="Arial"/>
                <w:color w:val="1F4E79" w:themeColor="accent1" w:themeShade="80"/>
                <w:sz w:val="24"/>
                <w:szCs w:val="24"/>
              </w:rPr>
            </w:pPr>
            <w:r w:rsidRPr="00D8427B">
              <w:rPr>
                <w:rFonts w:ascii="Arial" w:hAnsi="Arial" w:cs="Arial"/>
                <w:b/>
                <w:bCs/>
                <w:color w:val="1F4E79" w:themeColor="accent1" w:themeShade="80"/>
                <w:sz w:val="24"/>
                <w:szCs w:val="24"/>
              </w:rPr>
              <w:t>Student behaviours in the context of policies procedures and developments</w:t>
            </w:r>
            <w:r w:rsidRPr="00D8427B">
              <w:rPr>
                <w:rFonts w:ascii="Arial" w:hAnsi="Arial" w:cs="Arial"/>
                <w:color w:val="1F4E79" w:themeColor="accent1" w:themeShade="80"/>
                <w:sz w:val="24"/>
                <w:szCs w:val="24"/>
              </w:rPr>
              <w:t xml:space="preserve"> Matt Mills</w:t>
            </w:r>
          </w:p>
          <w:p w14:paraId="2AA8238A" w14:textId="77777777" w:rsidR="00DD032D" w:rsidRPr="00D8427B" w:rsidRDefault="00DD032D" w:rsidP="00767BCC">
            <w:pPr>
              <w:rPr>
                <w:rFonts w:ascii="Arial" w:hAnsi="Arial" w:cs="Arial"/>
                <w:color w:val="1F4E79" w:themeColor="accent1" w:themeShade="80"/>
                <w:sz w:val="24"/>
                <w:szCs w:val="24"/>
              </w:rPr>
            </w:pPr>
          </w:p>
          <w:p w14:paraId="397E278A" w14:textId="77777777" w:rsidR="00DD032D" w:rsidRPr="00D8427B" w:rsidRDefault="00CA20FE" w:rsidP="00767BCC">
            <w:pPr>
              <w:rPr>
                <w:rFonts w:ascii="Arial" w:hAnsi="Arial" w:cs="Arial"/>
                <w:color w:val="1F4E79" w:themeColor="accent1" w:themeShade="80"/>
                <w:sz w:val="24"/>
                <w:szCs w:val="24"/>
              </w:rPr>
            </w:pPr>
            <w:r w:rsidRPr="00D8427B">
              <w:rPr>
                <w:rFonts w:ascii="Arial" w:hAnsi="Arial" w:cs="Arial"/>
                <w:color w:val="1F4E79" w:themeColor="accent1" w:themeShade="80"/>
                <w:sz w:val="24"/>
                <w:szCs w:val="24"/>
              </w:rPr>
              <w:t xml:space="preserve">It was noted that there has been a spike in poor student behaviour and to review this a workshop will be held in June 2022 with stakeholders. It was stated that this will be to develop a toolkit for colleagues to handle poor student behaviour and do so without punitively referring to regulations. </w:t>
            </w:r>
          </w:p>
          <w:p w14:paraId="50D185A9" w14:textId="77777777" w:rsidR="00CA20FE" w:rsidRPr="00D8427B" w:rsidRDefault="00CA20FE" w:rsidP="00767BCC">
            <w:pPr>
              <w:rPr>
                <w:rFonts w:ascii="Arial" w:hAnsi="Arial" w:cs="Arial"/>
                <w:color w:val="1F4E79" w:themeColor="accent1" w:themeShade="80"/>
                <w:sz w:val="24"/>
                <w:szCs w:val="24"/>
              </w:rPr>
            </w:pPr>
          </w:p>
          <w:p w14:paraId="0056732F" w14:textId="67C7B98A" w:rsidR="00CA20FE" w:rsidRPr="00D8427B" w:rsidRDefault="00CA20FE" w:rsidP="00767BCC">
            <w:pPr>
              <w:rPr>
                <w:rFonts w:ascii="Arial" w:hAnsi="Arial" w:cs="Arial"/>
                <w:color w:val="1F4E79" w:themeColor="accent1" w:themeShade="80"/>
                <w:sz w:val="24"/>
                <w:szCs w:val="24"/>
              </w:rPr>
            </w:pPr>
            <w:r w:rsidRPr="00D8427B">
              <w:rPr>
                <w:rFonts w:ascii="Arial" w:hAnsi="Arial" w:cs="Arial"/>
                <w:color w:val="1F4E79" w:themeColor="accent1" w:themeShade="80"/>
                <w:sz w:val="24"/>
                <w:szCs w:val="24"/>
              </w:rPr>
              <w:t xml:space="preserve">The Chair noted that spaces around campus will be marked for students </w:t>
            </w:r>
            <w:r w:rsidR="00D8427B" w:rsidRPr="00D8427B">
              <w:rPr>
                <w:rFonts w:ascii="Arial" w:hAnsi="Arial" w:cs="Arial"/>
                <w:color w:val="1F4E79" w:themeColor="accent1" w:themeShade="80"/>
                <w:sz w:val="24"/>
                <w:szCs w:val="24"/>
              </w:rPr>
              <w:t>for</w:t>
            </w:r>
            <w:r w:rsidR="0087779C" w:rsidRPr="00D8427B">
              <w:rPr>
                <w:rFonts w:ascii="Arial" w:hAnsi="Arial" w:cs="Arial"/>
                <w:color w:val="1F4E79" w:themeColor="accent1" w:themeShade="80"/>
                <w:sz w:val="24"/>
                <w:szCs w:val="24"/>
              </w:rPr>
              <w:t xml:space="preserve"> them to</w:t>
            </w:r>
            <w:r w:rsidRPr="00D8427B">
              <w:rPr>
                <w:rFonts w:ascii="Arial" w:hAnsi="Arial" w:cs="Arial"/>
                <w:color w:val="1F4E79" w:themeColor="accent1" w:themeShade="80"/>
                <w:sz w:val="24"/>
                <w:szCs w:val="24"/>
              </w:rPr>
              <w:t xml:space="preserve"> know the expectations for behaviour across campus. </w:t>
            </w:r>
          </w:p>
        </w:tc>
        <w:tc>
          <w:tcPr>
            <w:tcW w:w="2806" w:type="dxa"/>
            <w:tcBorders>
              <w:top w:val="nil"/>
              <w:left w:val="nil"/>
              <w:bottom w:val="nil"/>
              <w:right w:val="nil"/>
            </w:tcBorders>
          </w:tcPr>
          <w:p w14:paraId="0F8D846E" w14:textId="77777777" w:rsidR="00E80CB2" w:rsidRPr="00E10574" w:rsidRDefault="00E80CB2" w:rsidP="00767BCC">
            <w:pPr>
              <w:jc w:val="right"/>
              <w:rPr>
                <w:rFonts w:ascii="Arial" w:hAnsi="Arial" w:cs="Arial"/>
                <w:sz w:val="20"/>
                <w:szCs w:val="20"/>
              </w:rPr>
            </w:pPr>
          </w:p>
        </w:tc>
      </w:tr>
      <w:tr w:rsidR="00767BCC" w14:paraId="334CD32C" w14:textId="77777777" w:rsidTr="00DF32BA">
        <w:trPr>
          <w:trHeight w:val="256"/>
        </w:trPr>
        <w:tc>
          <w:tcPr>
            <w:tcW w:w="704" w:type="dxa"/>
            <w:tcBorders>
              <w:top w:val="nil"/>
              <w:left w:val="nil"/>
              <w:bottom w:val="nil"/>
              <w:right w:val="nil"/>
            </w:tcBorders>
          </w:tcPr>
          <w:p w14:paraId="2D268FF2" w14:textId="77777777" w:rsidR="00767BCC" w:rsidRDefault="00767BCC" w:rsidP="00767BCC">
            <w:pPr>
              <w:rPr>
                <w:rFonts w:ascii="Arial" w:hAnsi="Arial" w:cs="Arial"/>
                <w:b/>
                <w:color w:val="1F4E79" w:themeColor="accent1" w:themeShade="80"/>
              </w:rPr>
            </w:pPr>
          </w:p>
        </w:tc>
        <w:tc>
          <w:tcPr>
            <w:tcW w:w="6946" w:type="dxa"/>
            <w:tcBorders>
              <w:top w:val="nil"/>
              <w:left w:val="nil"/>
              <w:bottom w:val="nil"/>
              <w:right w:val="nil"/>
            </w:tcBorders>
          </w:tcPr>
          <w:p w14:paraId="3B6D0B6F" w14:textId="77777777" w:rsidR="00767BCC" w:rsidRPr="0027290C" w:rsidRDefault="00767BCC" w:rsidP="00767BCC">
            <w:pPr>
              <w:rPr>
                <w:rFonts w:ascii="Arial" w:hAnsi="Arial" w:cs="Arial"/>
                <w:color w:val="000000" w:themeColor="text1"/>
              </w:rPr>
            </w:pPr>
          </w:p>
        </w:tc>
        <w:tc>
          <w:tcPr>
            <w:tcW w:w="2806" w:type="dxa"/>
            <w:tcBorders>
              <w:top w:val="nil"/>
              <w:left w:val="nil"/>
              <w:bottom w:val="nil"/>
              <w:right w:val="nil"/>
            </w:tcBorders>
          </w:tcPr>
          <w:p w14:paraId="615C76F7" w14:textId="77777777" w:rsidR="00767BCC" w:rsidRPr="00E10574" w:rsidRDefault="00767BCC" w:rsidP="00767BCC">
            <w:pPr>
              <w:jc w:val="right"/>
              <w:rPr>
                <w:rFonts w:ascii="Arial" w:hAnsi="Arial" w:cs="Arial"/>
                <w:sz w:val="20"/>
                <w:szCs w:val="20"/>
              </w:rPr>
            </w:pPr>
          </w:p>
        </w:tc>
      </w:tr>
      <w:tr w:rsidR="00B90323" w14:paraId="3C2F5920" w14:textId="77777777" w:rsidTr="00DF32BA">
        <w:trPr>
          <w:trHeight w:val="256"/>
        </w:trPr>
        <w:tc>
          <w:tcPr>
            <w:tcW w:w="704" w:type="dxa"/>
            <w:tcBorders>
              <w:top w:val="nil"/>
              <w:left w:val="nil"/>
              <w:bottom w:val="nil"/>
              <w:right w:val="nil"/>
            </w:tcBorders>
          </w:tcPr>
          <w:p w14:paraId="1AAD947E" w14:textId="7EC9BAA7" w:rsidR="00B90323" w:rsidRPr="007C1030" w:rsidRDefault="002C184A" w:rsidP="00B90323">
            <w:pPr>
              <w:rPr>
                <w:rFonts w:ascii="Arial" w:hAnsi="Arial" w:cs="Arial"/>
                <w:b/>
                <w:color w:val="1F4E79" w:themeColor="accent1" w:themeShade="80"/>
                <w:sz w:val="24"/>
                <w:szCs w:val="24"/>
              </w:rPr>
            </w:pPr>
            <w:r w:rsidRPr="007C1030">
              <w:rPr>
                <w:rFonts w:ascii="Arial" w:hAnsi="Arial" w:cs="Arial"/>
                <w:b/>
                <w:color w:val="1F4E79" w:themeColor="accent1" w:themeShade="80"/>
                <w:sz w:val="24"/>
                <w:szCs w:val="24"/>
              </w:rPr>
              <w:t>5.</w:t>
            </w:r>
          </w:p>
        </w:tc>
        <w:tc>
          <w:tcPr>
            <w:tcW w:w="6946" w:type="dxa"/>
            <w:tcBorders>
              <w:top w:val="nil"/>
              <w:left w:val="nil"/>
              <w:bottom w:val="nil"/>
              <w:right w:val="nil"/>
            </w:tcBorders>
          </w:tcPr>
          <w:p w14:paraId="10265E0C" w14:textId="2935E85A" w:rsidR="00B90323" w:rsidRPr="007C1030" w:rsidRDefault="00B90323" w:rsidP="00B90323">
            <w:pPr>
              <w:rPr>
                <w:rFonts w:ascii="Arial" w:hAnsi="Arial" w:cs="Arial"/>
                <w:color w:val="1F4E79" w:themeColor="accent1" w:themeShade="80"/>
                <w:sz w:val="24"/>
                <w:szCs w:val="24"/>
              </w:rPr>
            </w:pPr>
            <w:r w:rsidRPr="007C1030">
              <w:rPr>
                <w:rFonts w:ascii="Arial" w:hAnsi="Arial" w:cs="Arial"/>
                <w:b/>
                <w:bCs/>
                <w:color w:val="1F4E79" w:themeColor="accent1" w:themeShade="80"/>
                <w:sz w:val="24"/>
                <w:szCs w:val="24"/>
              </w:rPr>
              <w:t>MEMBERSHIP and TOR 2022-2023</w:t>
            </w:r>
          </w:p>
        </w:tc>
        <w:tc>
          <w:tcPr>
            <w:tcW w:w="2806" w:type="dxa"/>
            <w:tcBorders>
              <w:top w:val="nil"/>
              <w:left w:val="nil"/>
              <w:bottom w:val="nil"/>
              <w:right w:val="nil"/>
            </w:tcBorders>
          </w:tcPr>
          <w:p w14:paraId="2AF2B5A6" w14:textId="77777777" w:rsidR="00B90323" w:rsidRPr="00E10574" w:rsidRDefault="00B90323" w:rsidP="00B90323">
            <w:pPr>
              <w:jc w:val="right"/>
              <w:rPr>
                <w:rFonts w:ascii="Arial" w:hAnsi="Arial" w:cs="Arial"/>
                <w:sz w:val="20"/>
                <w:szCs w:val="20"/>
              </w:rPr>
            </w:pPr>
          </w:p>
        </w:tc>
      </w:tr>
      <w:tr w:rsidR="00B90323" w14:paraId="4E8762A6" w14:textId="77777777" w:rsidTr="00DF32BA">
        <w:trPr>
          <w:trHeight w:val="1266"/>
        </w:trPr>
        <w:tc>
          <w:tcPr>
            <w:tcW w:w="704" w:type="dxa"/>
            <w:tcBorders>
              <w:top w:val="nil"/>
              <w:left w:val="nil"/>
              <w:bottom w:val="nil"/>
              <w:right w:val="nil"/>
            </w:tcBorders>
          </w:tcPr>
          <w:p w14:paraId="20E42F0D" w14:textId="1CBA346F" w:rsidR="00B90323" w:rsidRPr="007C1030" w:rsidRDefault="002C184A" w:rsidP="00B90323">
            <w:pPr>
              <w:rPr>
                <w:rFonts w:ascii="Arial" w:hAnsi="Arial" w:cs="Arial"/>
                <w:b/>
                <w:color w:val="1F4E79" w:themeColor="accent1" w:themeShade="80"/>
                <w:sz w:val="24"/>
                <w:szCs w:val="24"/>
              </w:rPr>
            </w:pPr>
            <w:r w:rsidRPr="007C1030">
              <w:rPr>
                <w:rFonts w:ascii="Arial" w:hAnsi="Arial" w:cs="Arial"/>
                <w:b/>
                <w:color w:val="1F4E79" w:themeColor="accent1" w:themeShade="80"/>
                <w:sz w:val="24"/>
                <w:szCs w:val="24"/>
              </w:rPr>
              <w:t>5.1</w:t>
            </w:r>
          </w:p>
        </w:tc>
        <w:tc>
          <w:tcPr>
            <w:tcW w:w="6946" w:type="dxa"/>
            <w:tcBorders>
              <w:top w:val="nil"/>
              <w:left w:val="nil"/>
              <w:bottom w:val="nil"/>
              <w:right w:val="nil"/>
            </w:tcBorders>
          </w:tcPr>
          <w:p w14:paraId="24D8E4CC" w14:textId="3BBAD11E" w:rsidR="002C184A" w:rsidRPr="007C1030" w:rsidRDefault="0087779C" w:rsidP="00B90323">
            <w:pPr>
              <w:rPr>
                <w:rFonts w:ascii="Arial" w:eastAsia="Times New Roman" w:hAnsi="Arial" w:cs="Arial"/>
                <w:color w:val="1F4E79" w:themeColor="accent1" w:themeShade="80"/>
                <w:sz w:val="24"/>
                <w:szCs w:val="24"/>
              </w:rPr>
            </w:pPr>
            <w:r w:rsidRPr="007C1030">
              <w:rPr>
                <w:rFonts w:ascii="Arial" w:eastAsia="Times New Roman" w:hAnsi="Arial" w:cs="Arial"/>
                <w:color w:val="1F4E79" w:themeColor="accent1" w:themeShade="80"/>
                <w:sz w:val="24"/>
                <w:szCs w:val="24"/>
              </w:rPr>
              <w:t>T</w:t>
            </w:r>
            <w:r w:rsidR="00B90323" w:rsidRPr="007C1030">
              <w:rPr>
                <w:rFonts w:ascii="Arial" w:eastAsia="Times New Roman" w:hAnsi="Arial" w:cs="Arial"/>
                <w:color w:val="1F4E79" w:themeColor="accent1" w:themeShade="80"/>
                <w:sz w:val="24"/>
                <w:szCs w:val="24"/>
              </w:rPr>
              <w:t>he Terms of Reference and Membership for 22/23</w:t>
            </w:r>
            <w:r w:rsidRPr="007C1030">
              <w:rPr>
                <w:rFonts w:ascii="Arial" w:eastAsia="Times New Roman" w:hAnsi="Arial" w:cs="Arial"/>
                <w:color w:val="1F4E79" w:themeColor="accent1" w:themeShade="80"/>
                <w:sz w:val="24"/>
                <w:szCs w:val="24"/>
              </w:rPr>
              <w:t xml:space="preserve"> were approved. </w:t>
            </w:r>
          </w:p>
          <w:p w14:paraId="47626776" w14:textId="769C42FB" w:rsidR="00B90323" w:rsidRPr="007C1030" w:rsidRDefault="00B90323" w:rsidP="00B90323">
            <w:pPr>
              <w:rPr>
                <w:rFonts w:ascii="Arial" w:eastAsia="Times New Roman" w:hAnsi="Arial" w:cs="Arial"/>
                <w:color w:val="1F4E79" w:themeColor="accent1" w:themeShade="80"/>
                <w:sz w:val="24"/>
                <w:szCs w:val="24"/>
              </w:rPr>
            </w:pPr>
            <w:r w:rsidRPr="007C1030">
              <w:rPr>
                <w:rFonts w:ascii="Arial" w:eastAsia="Times New Roman" w:hAnsi="Arial" w:cs="Arial"/>
                <w:color w:val="1F4E79" w:themeColor="accent1" w:themeShade="80"/>
                <w:sz w:val="24"/>
                <w:szCs w:val="24"/>
              </w:rPr>
              <w:t>Dean</w:t>
            </w:r>
            <w:r w:rsidR="005309AD" w:rsidRPr="007C1030">
              <w:rPr>
                <w:rFonts w:ascii="Arial" w:eastAsia="Times New Roman" w:hAnsi="Arial" w:cs="Arial"/>
                <w:color w:val="1F4E79" w:themeColor="accent1" w:themeShade="80"/>
                <w:sz w:val="24"/>
                <w:szCs w:val="24"/>
              </w:rPr>
              <w:t xml:space="preserve"> Representative</w:t>
            </w:r>
            <w:r w:rsidRPr="007C1030">
              <w:rPr>
                <w:rFonts w:ascii="Arial" w:eastAsia="Times New Roman" w:hAnsi="Arial" w:cs="Arial"/>
                <w:color w:val="1F4E79" w:themeColor="accent1" w:themeShade="80"/>
                <w:sz w:val="24"/>
                <w:szCs w:val="24"/>
              </w:rPr>
              <w:t xml:space="preserve"> – Hazel Bryan</w:t>
            </w:r>
            <w:r w:rsidR="005309AD" w:rsidRPr="007C1030">
              <w:rPr>
                <w:rFonts w:ascii="Arial" w:eastAsia="Times New Roman" w:hAnsi="Arial" w:cs="Arial"/>
                <w:color w:val="1F4E79" w:themeColor="accent1" w:themeShade="80"/>
                <w:sz w:val="24"/>
                <w:szCs w:val="24"/>
              </w:rPr>
              <w:t>’s</w:t>
            </w:r>
            <w:r w:rsidRPr="007C1030">
              <w:rPr>
                <w:rFonts w:ascii="Arial" w:eastAsia="Times New Roman" w:hAnsi="Arial" w:cs="Arial"/>
                <w:color w:val="1F4E79" w:themeColor="accent1" w:themeShade="80"/>
                <w:sz w:val="24"/>
                <w:szCs w:val="24"/>
              </w:rPr>
              <w:t xml:space="preserve"> term of office finishes, </w:t>
            </w:r>
            <w:r w:rsidR="002237F6" w:rsidRPr="007C1030">
              <w:rPr>
                <w:rFonts w:ascii="Arial" w:eastAsia="Times New Roman" w:hAnsi="Arial" w:cs="Arial"/>
                <w:color w:val="1F4E79" w:themeColor="accent1" w:themeShade="80"/>
                <w:sz w:val="24"/>
                <w:szCs w:val="24"/>
              </w:rPr>
              <w:t>Prof Jill Johnes from HBS will join from September 2022</w:t>
            </w:r>
          </w:p>
          <w:p w14:paraId="378487E0" w14:textId="77777777" w:rsidR="008F7DFF" w:rsidRPr="007C1030" w:rsidRDefault="00AF55F6" w:rsidP="00B90323">
            <w:pPr>
              <w:rPr>
                <w:rFonts w:ascii="Arial" w:hAnsi="Arial" w:cs="Arial"/>
                <w:color w:val="1F4E79" w:themeColor="accent1" w:themeShade="80"/>
                <w:sz w:val="24"/>
                <w:szCs w:val="24"/>
              </w:rPr>
            </w:pPr>
            <w:r w:rsidRPr="007C1030">
              <w:rPr>
                <w:rFonts w:ascii="Arial" w:hAnsi="Arial" w:cs="Arial"/>
                <w:color w:val="1F4E79" w:themeColor="accent1" w:themeShade="80"/>
                <w:sz w:val="24"/>
                <w:szCs w:val="24"/>
              </w:rPr>
              <w:t xml:space="preserve">Millie Avery will be replaced by the </w:t>
            </w:r>
            <w:r w:rsidR="005309AD" w:rsidRPr="007C1030">
              <w:rPr>
                <w:rFonts w:ascii="Arial" w:hAnsi="Arial" w:cs="Arial"/>
                <w:color w:val="1F4E79" w:themeColor="accent1" w:themeShade="80"/>
                <w:sz w:val="24"/>
                <w:szCs w:val="24"/>
              </w:rPr>
              <w:t xml:space="preserve">New SU Education Officer </w:t>
            </w:r>
            <w:r w:rsidRPr="007C1030">
              <w:rPr>
                <w:rFonts w:ascii="Arial" w:hAnsi="Arial" w:cs="Arial"/>
                <w:color w:val="1F4E79" w:themeColor="accent1" w:themeShade="80"/>
                <w:sz w:val="24"/>
                <w:szCs w:val="24"/>
              </w:rPr>
              <w:t xml:space="preserve">– Sarah </w:t>
            </w:r>
            <w:proofErr w:type="spellStart"/>
            <w:r w:rsidRPr="007C1030">
              <w:rPr>
                <w:rFonts w:ascii="Arial" w:hAnsi="Arial" w:cs="Arial"/>
                <w:color w:val="1F4E79" w:themeColor="accent1" w:themeShade="80"/>
                <w:sz w:val="24"/>
                <w:szCs w:val="24"/>
              </w:rPr>
              <w:t>Elkady</w:t>
            </w:r>
            <w:proofErr w:type="spellEnd"/>
          </w:p>
          <w:p w14:paraId="04200997" w14:textId="77777777" w:rsidR="00CA20FE" w:rsidRPr="007C1030" w:rsidRDefault="00CA20FE" w:rsidP="00B90323">
            <w:pPr>
              <w:rPr>
                <w:rFonts w:ascii="Arial" w:hAnsi="Arial" w:cs="Arial"/>
                <w:color w:val="1F4E79" w:themeColor="accent1" w:themeShade="80"/>
                <w:sz w:val="24"/>
                <w:szCs w:val="24"/>
              </w:rPr>
            </w:pPr>
          </w:p>
          <w:p w14:paraId="6CEDD36C" w14:textId="5E369B98" w:rsidR="00CA20FE" w:rsidRPr="007C1030" w:rsidRDefault="00CA20FE" w:rsidP="00B90323">
            <w:pPr>
              <w:rPr>
                <w:rFonts w:ascii="Arial" w:hAnsi="Arial" w:cs="Arial"/>
                <w:color w:val="1F4E79" w:themeColor="accent1" w:themeShade="80"/>
                <w:sz w:val="24"/>
                <w:szCs w:val="24"/>
              </w:rPr>
            </w:pPr>
            <w:r w:rsidRPr="007C1030">
              <w:rPr>
                <w:rFonts w:ascii="Arial" w:hAnsi="Arial" w:cs="Arial"/>
                <w:color w:val="1F4E79" w:themeColor="accent1" w:themeShade="80"/>
                <w:sz w:val="24"/>
                <w:szCs w:val="24"/>
              </w:rPr>
              <w:t>The Chair thanked Prof Bryan and Miss Avery for their membership</w:t>
            </w:r>
            <w:r w:rsidR="0087779C" w:rsidRPr="007C1030">
              <w:rPr>
                <w:rFonts w:ascii="Arial" w:hAnsi="Arial" w:cs="Arial"/>
                <w:color w:val="1F4E79" w:themeColor="accent1" w:themeShade="80"/>
                <w:sz w:val="24"/>
                <w:szCs w:val="24"/>
              </w:rPr>
              <w:t xml:space="preserve"> and input</w:t>
            </w:r>
            <w:r w:rsidRPr="007C1030">
              <w:rPr>
                <w:rFonts w:ascii="Arial" w:hAnsi="Arial" w:cs="Arial"/>
                <w:color w:val="1F4E79" w:themeColor="accent1" w:themeShade="80"/>
                <w:sz w:val="24"/>
                <w:szCs w:val="24"/>
              </w:rPr>
              <w:t xml:space="preserve">. </w:t>
            </w:r>
          </w:p>
        </w:tc>
        <w:tc>
          <w:tcPr>
            <w:tcW w:w="2806" w:type="dxa"/>
            <w:tcBorders>
              <w:top w:val="nil"/>
              <w:left w:val="nil"/>
              <w:bottom w:val="nil"/>
              <w:right w:val="nil"/>
            </w:tcBorders>
          </w:tcPr>
          <w:p w14:paraId="578E267D" w14:textId="77777777" w:rsidR="007C1030" w:rsidRPr="007C1030" w:rsidRDefault="007C1030" w:rsidP="007C1030">
            <w:pPr>
              <w:jc w:val="right"/>
              <w:rPr>
                <w:rFonts w:ascii="Arial" w:hAnsi="Arial" w:cs="Arial"/>
                <w:color w:val="1F4E79" w:themeColor="accent1" w:themeShade="80"/>
                <w:sz w:val="24"/>
                <w:szCs w:val="24"/>
              </w:rPr>
            </w:pPr>
            <w:r w:rsidRPr="007C1030">
              <w:rPr>
                <w:rFonts w:ascii="Arial" w:hAnsi="Arial" w:cs="Arial"/>
                <w:color w:val="1F4E79" w:themeColor="accent1" w:themeShade="80"/>
                <w:sz w:val="24"/>
                <w:szCs w:val="24"/>
              </w:rPr>
              <w:t>UTLC_2022_05_18_P5.1a</w:t>
            </w:r>
          </w:p>
          <w:p w14:paraId="03677D2E" w14:textId="77777777" w:rsidR="007C1030" w:rsidRPr="007C1030" w:rsidRDefault="007C1030" w:rsidP="007C1030">
            <w:pPr>
              <w:jc w:val="right"/>
              <w:rPr>
                <w:rFonts w:ascii="Arial" w:hAnsi="Arial" w:cs="Arial"/>
                <w:color w:val="1F4E79" w:themeColor="accent1" w:themeShade="80"/>
                <w:sz w:val="24"/>
                <w:szCs w:val="24"/>
              </w:rPr>
            </w:pPr>
          </w:p>
          <w:p w14:paraId="3439F32D" w14:textId="77777777" w:rsidR="007C1030" w:rsidRPr="007C1030" w:rsidRDefault="007C1030" w:rsidP="007C1030">
            <w:pPr>
              <w:jc w:val="right"/>
              <w:rPr>
                <w:rFonts w:ascii="Arial" w:hAnsi="Arial" w:cs="Arial"/>
                <w:color w:val="1F4E79" w:themeColor="accent1" w:themeShade="80"/>
                <w:sz w:val="24"/>
                <w:szCs w:val="24"/>
              </w:rPr>
            </w:pPr>
            <w:r w:rsidRPr="007C1030">
              <w:rPr>
                <w:rFonts w:ascii="Arial" w:hAnsi="Arial" w:cs="Arial"/>
                <w:color w:val="1F4E79" w:themeColor="accent1" w:themeShade="80"/>
                <w:sz w:val="24"/>
                <w:szCs w:val="24"/>
              </w:rPr>
              <w:t>UTLC_2022_05_18_P5.1b</w:t>
            </w:r>
          </w:p>
          <w:p w14:paraId="7AD4BDEF" w14:textId="6DEC78C1" w:rsidR="00E10574" w:rsidRPr="003F50C0" w:rsidRDefault="00E10574" w:rsidP="0087779C">
            <w:pPr>
              <w:jc w:val="right"/>
              <w:rPr>
                <w:rFonts w:ascii="Arial" w:hAnsi="Arial" w:cs="Arial"/>
                <w:sz w:val="20"/>
                <w:szCs w:val="20"/>
              </w:rPr>
            </w:pPr>
          </w:p>
        </w:tc>
      </w:tr>
      <w:tr w:rsidR="00B90323" w14:paraId="5C20115F" w14:textId="77777777" w:rsidTr="00DF32BA">
        <w:trPr>
          <w:trHeight w:val="256"/>
        </w:trPr>
        <w:tc>
          <w:tcPr>
            <w:tcW w:w="704" w:type="dxa"/>
            <w:tcBorders>
              <w:top w:val="nil"/>
              <w:left w:val="nil"/>
              <w:bottom w:val="nil"/>
              <w:right w:val="nil"/>
            </w:tcBorders>
          </w:tcPr>
          <w:p w14:paraId="3791461C" w14:textId="77777777" w:rsidR="00B90323" w:rsidRDefault="00B90323" w:rsidP="00B90323">
            <w:pPr>
              <w:rPr>
                <w:rFonts w:ascii="Arial" w:hAnsi="Arial" w:cs="Arial"/>
                <w:b/>
                <w:color w:val="1F4E79" w:themeColor="accent1" w:themeShade="80"/>
              </w:rPr>
            </w:pPr>
          </w:p>
        </w:tc>
        <w:tc>
          <w:tcPr>
            <w:tcW w:w="6946" w:type="dxa"/>
            <w:tcBorders>
              <w:top w:val="nil"/>
              <w:left w:val="nil"/>
              <w:bottom w:val="nil"/>
              <w:right w:val="nil"/>
            </w:tcBorders>
          </w:tcPr>
          <w:p w14:paraId="5B3B8014" w14:textId="77777777" w:rsidR="00B90323" w:rsidRPr="0027290C" w:rsidRDefault="00B90323" w:rsidP="00B90323">
            <w:pPr>
              <w:rPr>
                <w:rFonts w:ascii="Arial" w:hAnsi="Arial" w:cs="Arial"/>
                <w:color w:val="000000" w:themeColor="text1"/>
              </w:rPr>
            </w:pPr>
          </w:p>
        </w:tc>
        <w:tc>
          <w:tcPr>
            <w:tcW w:w="2806" w:type="dxa"/>
            <w:tcBorders>
              <w:top w:val="nil"/>
              <w:left w:val="nil"/>
              <w:bottom w:val="nil"/>
              <w:right w:val="nil"/>
            </w:tcBorders>
          </w:tcPr>
          <w:p w14:paraId="14AD6C4A" w14:textId="77777777" w:rsidR="00B90323" w:rsidRPr="003F50C0" w:rsidRDefault="00B90323" w:rsidP="00B90323">
            <w:pPr>
              <w:jc w:val="right"/>
              <w:rPr>
                <w:rFonts w:ascii="Arial" w:hAnsi="Arial" w:cs="Arial"/>
                <w:sz w:val="20"/>
                <w:szCs w:val="20"/>
              </w:rPr>
            </w:pPr>
          </w:p>
        </w:tc>
      </w:tr>
      <w:tr w:rsidR="00B90323" w14:paraId="749A3020" w14:textId="77777777" w:rsidTr="00DF32BA">
        <w:trPr>
          <w:trHeight w:val="256"/>
        </w:trPr>
        <w:tc>
          <w:tcPr>
            <w:tcW w:w="704" w:type="dxa"/>
            <w:tcBorders>
              <w:top w:val="nil"/>
              <w:left w:val="nil"/>
              <w:bottom w:val="nil"/>
              <w:right w:val="nil"/>
            </w:tcBorders>
          </w:tcPr>
          <w:p w14:paraId="254E18FA" w14:textId="129C28FF" w:rsidR="00B90323" w:rsidRPr="0096409C" w:rsidRDefault="002C184A" w:rsidP="00B90323">
            <w:pPr>
              <w:rPr>
                <w:rFonts w:ascii="Arial" w:hAnsi="Arial" w:cs="Arial"/>
                <w:b/>
                <w:color w:val="1F4E79" w:themeColor="accent1" w:themeShade="80"/>
                <w:sz w:val="24"/>
                <w:szCs w:val="24"/>
              </w:rPr>
            </w:pPr>
            <w:r w:rsidRPr="0096409C">
              <w:rPr>
                <w:rFonts w:ascii="Arial" w:hAnsi="Arial" w:cs="Arial"/>
                <w:b/>
                <w:color w:val="1F4E79" w:themeColor="accent1" w:themeShade="80"/>
                <w:sz w:val="24"/>
                <w:szCs w:val="24"/>
              </w:rPr>
              <w:t>6</w:t>
            </w:r>
            <w:r w:rsidR="00B90323" w:rsidRPr="0096409C">
              <w:rPr>
                <w:rFonts w:ascii="Arial" w:hAnsi="Arial" w:cs="Arial"/>
                <w:b/>
                <w:color w:val="1F4E79" w:themeColor="accent1" w:themeShade="80"/>
                <w:sz w:val="24"/>
                <w:szCs w:val="24"/>
              </w:rPr>
              <w:t>.</w:t>
            </w:r>
          </w:p>
        </w:tc>
        <w:tc>
          <w:tcPr>
            <w:tcW w:w="6946" w:type="dxa"/>
            <w:tcBorders>
              <w:top w:val="nil"/>
              <w:left w:val="nil"/>
              <w:bottom w:val="nil"/>
              <w:right w:val="nil"/>
            </w:tcBorders>
          </w:tcPr>
          <w:p w14:paraId="4020E811" w14:textId="6958706D" w:rsidR="00B90323" w:rsidRPr="0096409C" w:rsidRDefault="00B90323" w:rsidP="00B90323">
            <w:pPr>
              <w:rPr>
                <w:rFonts w:ascii="Arial" w:hAnsi="Arial" w:cs="Arial"/>
                <w:b/>
                <w:color w:val="1F4E79" w:themeColor="accent1" w:themeShade="80"/>
                <w:sz w:val="24"/>
                <w:szCs w:val="24"/>
              </w:rPr>
            </w:pPr>
            <w:r w:rsidRPr="0096409C">
              <w:rPr>
                <w:rFonts w:ascii="Arial" w:hAnsi="Arial" w:cs="Arial"/>
                <w:b/>
                <w:color w:val="1F4E79" w:themeColor="accent1" w:themeShade="80"/>
                <w:sz w:val="24"/>
                <w:szCs w:val="24"/>
              </w:rPr>
              <w:t xml:space="preserve">ACADEMIC ADMINISTRATION TIMETABLE 2022/23 </w:t>
            </w:r>
          </w:p>
        </w:tc>
        <w:tc>
          <w:tcPr>
            <w:tcW w:w="2806" w:type="dxa"/>
            <w:tcBorders>
              <w:top w:val="nil"/>
              <w:left w:val="nil"/>
              <w:bottom w:val="nil"/>
              <w:right w:val="nil"/>
            </w:tcBorders>
          </w:tcPr>
          <w:p w14:paraId="4973A553" w14:textId="77777777" w:rsidR="00B90323" w:rsidRPr="0096409C" w:rsidRDefault="00B90323" w:rsidP="00B90323">
            <w:pPr>
              <w:rPr>
                <w:rFonts w:ascii="Arial" w:hAnsi="Arial" w:cs="Arial"/>
                <w:b/>
                <w:color w:val="1F4E79" w:themeColor="accent1" w:themeShade="80"/>
                <w:sz w:val="24"/>
                <w:szCs w:val="24"/>
              </w:rPr>
            </w:pPr>
          </w:p>
        </w:tc>
      </w:tr>
      <w:tr w:rsidR="00B90323" w14:paraId="3BE71774" w14:textId="77777777" w:rsidTr="00DF32BA">
        <w:trPr>
          <w:trHeight w:val="256"/>
        </w:trPr>
        <w:tc>
          <w:tcPr>
            <w:tcW w:w="704" w:type="dxa"/>
            <w:tcBorders>
              <w:top w:val="nil"/>
              <w:left w:val="nil"/>
              <w:bottom w:val="nil"/>
              <w:right w:val="nil"/>
            </w:tcBorders>
          </w:tcPr>
          <w:p w14:paraId="5A3526B2" w14:textId="485BA09F" w:rsidR="00B90323" w:rsidRPr="0096409C" w:rsidRDefault="002C184A" w:rsidP="00B90323">
            <w:pPr>
              <w:rPr>
                <w:rFonts w:ascii="Arial" w:hAnsi="Arial" w:cs="Arial"/>
                <w:b/>
                <w:color w:val="1F4E79" w:themeColor="accent1" w:themeShade="80"/>
                <w:sz w:val="24"/>
                <w:szCs w:val="24"/>
              </w:rPr>
            </w:pPr>
            <w:r w:rsidRPr="0096409C">
              <w:rPr>
                <w:rFonts w:ascii="Arial" w:hAnsi="Arial" w:cs="Arial"/>
                <w:b/>
                <w:color w:val="1F4E79" w:themeColor="accent1" w:themeShade="80"/>
                <w:sz w:val="24"/>
                <w:szCs w:val="24"/>
              </w:rPr>
              <w:t>6</w:t>
            </w:r>
            <w:r w:rsidR="00B90323" w:rsidRPr="0096409C">
              <w:rPr>
                <w:rFonts w:ascii="Arial" w:hAnsi="Arial" w:cs="Arial"/>
                <w:b/>
                <w:color w:val="1F4E79" w:themeColor="accent1" w:themeShade="80"/>
                <w:sz w:val="24"/>
                <w:szCs w:val="24"/>
              </w:rPr>
              <w:t>.1</w:t>
            </w:r>
          </w:p>
        </w:tc>
        <w:tc>
          <w:tcPr>
            <w:tcW w:w="6946" w:type="dxa"/>
            <w:tcBorders>
              <w:top w:val="nil"/>
              <w:left w:val="nil"/>
              <w:bottom w:val="nil"/>
              <w:right w:val="nil"/>
            </w:tcBorders>
          </w:tcPr>
          <w:p w14:paraId="441A6A3B" w14:textId="0EF8503D" w:rsidR="0087779C" w:rsidRPr="0096409C" w:rsidRDefault="00EE2924" w:rsidP="00B90323">
            <w:pPr>
              <w:rPr>
                <w:rFonts w:ascii="Arial" w:hAnsi="Arial" w:cs="Arial"/>
                <w:color w:val="1F4E79" w:themeColor="accent1" w:themeShade="80"/>
                <w:sz w:val="24"/>
                <w:szCs w:val="24"/>
              </w:rPr>
            </w:pPr>
            <w:r w:rsidRPr="0096409C">
              <w:rPr>
                <w:rFonts w:ascii="Arial" w:hAnsi="Arial" w:cs="Arial"/>
                <w:color w:val="1F4E79" w:themeColor="accent1" w:themeShade="80"/>
                <w:sz w:val="24"/>
                <w:szCs w:val="24"/>
              </w:rPr>
              <w:t>Th</w:t>
            </w:r>
            <w:r w:rsidR="00B90323" w:rsidRPr="0096409C">
              <w:rPr>
                <w:rFonts w:ascii="Arial" w:hAnsi="Arial" w:cs="Arial"/>
                <w:color w:val="1F4E79" w:themeColor="accent1" w:themeShade="80"/>
                <w:sz w:val="24"/>
                <w:szCs w:val="24"/>
              </w:rPr>
              <w:t>e Academic Administration Timetable for 2022/23</w:t>
            </w:r>
            <w:r w:rsidR="0087779C" w:rsidRPr="0096409C">
              <w:rPr>
                <w:rFonts w:ascii="Arial" w:hAnsi="Arial" w:cs="Arial"/>
                <w:color w:val="1F4E79" w:themeColor="accent1" w:themeShade="80"/>
                <w:sz w:val="24"/>
                <w:szCs w:val="24"/>
              </w:rPr>
              <w:t xml:space="preserve"> was approved</w:t>
            </w:r>
            <w:r w:rsidRPr="0096409C">
              <w:rPr>
                <w:rFonts w:ascii="Arial" w:hAnsi="Arial" w:cs="Arial"/>
                <w:color w:val="1F4E79" w:themeColor="accent1" w:themeShade="80"/>
                <w:sz w:val="24"/>
                <w:szCs w:val="24"/>
              </w:rPr>
              <w:t xml:space="preserve">, subject to the minor amendment to the deadline for the disability declaration. The Chair also noted the comments raised around the PGT Autumn referral period of two weeks. It was noted by the group this could be an issue for students, however it was also noted that data returns are impacted by </w:t>
            </w:r>
            <w:r w:rsidRPr="0096409C">
              <w:rPr>
                <w:rFonts w:ascii="Arial" w:hAnsi="Arial" w:cs="Arial"/>
                <w:color w:val="1F4E79" w:themeColor="accent1" w:themeShade="80"/>
                <w:sz w:val="24"/>
                <w:szCs w:val="24"/>
              </w:rPr>
              <w:lastRenderedPageBreak/>
              <w:t>rolling the dates forward. The Chair asked Registry to work with CE and BS to review the concerns</w:t>
            </w:r>
            <w:r w:rsidR="0087779C" w:rsidRPr="0096409C">
              <w:rPr>
                <w:rFonts w:ascii="Arial" w:hAnsi="Arial" w:cs="Arial"/>
                <w:color w:val="1F4E79" w:themeColor="accent1" w:themeShade="80"/>
                <w:sz w:val="24"/>
                <w:szCs w:val="24"/>
              </w:rPr>
              <w:t>.</w:t>
            </w:r>
          </w:p>
        </w:tc>
        <w:tc>
          <w:tcPr>
            <w:tcW w:w="2806" w:type="dxa"/>
            <w:tcBorders>
              <w:top w:val="nil"/>
              <w:left w:val="nil"/>
              <w:bottom w:val="nil"/>
              <w:right w:val="nil"/>
            </w:tcBorders>
          </w:tcPr>
          <w:p w14:paraId="7F2DCCBA" w14:textId="77777777" w:rsidR="0096409C" w:rsidRPr="0096409C" w:rsidRDefault="0096409C" w:rsidP="0096409C">
            <w:pPr>
              <w:jc w:val="right"/>
              <w:rPr>
                <w:rFonts w:ascii="Arial" w:hAnsi="Arial" w:cs="Arial"/>
                <w:color w:val="1F4E79" w:themeColor="accent1" w:themeShade="80"/>
                <w:sz w:val="24"/>
                <w:szCs w:val="24"/>
              </w:rPr>
            </w:pPr>
            <w:r w:rsidRPr="0096409C">
              <w:rPr>
                <w:rFonts w:ascii="Arial" w:hAnsi="Arial" w:cs="Arial"/>
                <w:color w:val="1F4E79" w:themeColor="accent1" w:themeShade="80"/>
                <w:sz w:val="24"/>
                <w:szCs w:val="24"/>
              </w:rPr>
              <w:lastRenderedPageBreak/>
              <w:t>UTLC_2022_05_18_P6.1</w:t>
            </w:r>
          </w:p>
          <w:p w14:paraId="27158220" w14:textId="77777777" w:rsidR="0096409C" w:rsidRPr="0096409C" w:rsidRDefault="0096409C" w:rsidP="00B90323">
            <w:pPr>
              <w:jc w:val="right"/>
              <w:rPr>
                <w:rFonts w:ascii="Arial" w:hAnsi="Arial" w:cs="Arial"/>
                <w:color w:val="1F4E79" w:themeColor="accent1" w:themeShade="80"/>
                <w:sz w:val="24"/>
                <w:szCs w:val="24"/>
              </w:rPr>
            </w:pPr>
          </w:p>
          <w:p w14:paraId="65596C5F" w14:textId="329F5F3D" w:rsidR="0096409C" w:rsidRPr="0096409C" w:rsidRDefault="00EE2924" w:rsidP="00B90323">
            <w:pPr>
              <w:jc w:val="right"/>
              <w:rPr>
                <w:rFonts w:ascii="Arial" w:hAnsi="Arial" w:cs="Arial"/>
                <w:color w:val="1F4E79" w:themeColor="accent1" w:themeShade="80"/>
                <w:sz w:val="24"/>
                <w:szCs w:val="24"/>
              </w:rPr>
            </w:pPr>
            <w:r w:rsidRPr="0096409C">
              <w:rPr>
                <w:rFonts w:ascii="Arial" w:hAnsi="Arial" w:cs="Arial"/>
                <w:color w:val="1F4E79" w:themeColor="accent1" w:themeShade="80"/>
                <w:sz w:val="24"/>
                <w:szCs w:val="24"/>
              </w:rPr>
              <w:t>Registry (taught provision)</w:t>
            </w:r>
          </w:p>
          <w:p w14:paraId="446A4508" w14:textId="30591A79" w:rsidR="00B90323" w:rsidRPr="0096409C" w:rsidRDefault="00EE2924" w:rsidP="00B90323">
            <w:pPr>
              <w:jc w:val="right"/>
              <w:rPr>
                <w:rFonts w:ascii="Arial" w:hAnsi="Arial" w:cs="Arial"/>
                <w:color w:val="1F4E79" w:themeColor="accent1" w:themeShade="80"/>
                <w:sz w:val="24"/>
                <w:szCs w:val="24"/>
              </w:rPr>
            </w:pPr>
            <w:r w:rsidRPr="0096409C">
              <w:rPr>
                <w:rFonts w:ascii="Arial" w:hAnsi="Arial" w:cs="Arial"/>
                <w:color w:val="1F4E79" w:themeColor="accent1" w:themeShade="80"/>
                <w:sz w:val="24"/>
                <w:szCs w:val="24"/>
              </w:rPr>
              <w:t xml:space="preserve"> </w:t>
            </w:r>
          </w:p>
        </w:tc>
      </w:tr>
      <w:tr w:rsidR="00B90323" w14:paraId="5794C5A2" w14:textId="77777777" w:rsidTr="00DF32BA">
        <w:trPr>
          <w:trHeight w:val="256"/>
        </w:trPr>
        <w:tc>
          <w:tcPr>
            <w:tcW w:w="704" w:type="dxa"/>
            <w:tcBorders>
              <w:top w:val="nil"/>
              <w:left w:val="nil"/>
              <w:bottom w:val="nil"/>
              <w:right w:val="nil"/>
            </w:tcBorders>
          </w:tcPr>
          <w:p w14:paraId="2B7B84EC" w14:textId="77777777" w:rsidR="00B90323" w:rsidRDefault="00B90323" w:rsidP="00B90323">
            <w:pPr>
              <w:rPr>
                <w:rFonts w:ascii="Arial" w:hAnsi="Arial" w:cs="Arial"/>
                <w:b/>
                <w:color w:val="1F4E79" w:themeColor="accent1" w:themeShade="80"/>
              </w:rPr>
            </w:pPr>
          </w:p>
        </w:tc>
        <w:tc>
          <w:tcPr>
            <w:tcW w:w="6946" w:type="dxa"/>
            <w:tcBorders>
              <w:top w:val="nil"/>
              <w:left w:val="nil"/>
              <w:bottom w:val="nil"/>
              <w:right w:val="nil"/>
            </w:tcBorders>
          </w:tcPr>
          <w:p w14:paraId="3CA72C06" w14:textId="77777777" w:rsidR="00B90323" w:rsidRPr="00A654A0" w:rsidRDefault="00B90323" w:rsidP="00B90323">
            <w:pPr>
              <w:rPr>
                <w:rFonts w:ascii="Arial" w:hAnsi="Arial" w:cs="Arial"/>
                <w:color w:val="000000" w:themeColor="text1"/>
              </w:rPr>
            </w:pPr>
          </w:p>
        </w:tc>
        <w:tc>
          <w:tcPr>
            <w:tcW w:w="2806" w:type="dxa"/>
            <w:tcBorders>
              <w:top w:val="nil"/>
              <w:left w:val="nil"/>
              <w:bottom w:val="nil"/>
              <w:right w:val="nil"/>
            </w:tcBorders>
          </w:tcPr>
          <w:p w14:paraId="7450B74C" w14:textId="77777777" w:rsidR="00B90323" w:rsidRPr="003F50C0" w:rsidRDefault="00B90323" w:rsidP="00B90323">
            <w:pPr>
              <w:jc w:val="right"/>
              <w:rPr>
                <w:rFonts w:ascii="Arial" w:hAnsi="Arial" w:cs="Arial"/>
                <w:sz w:val="20"/>
                <w:szCs w:val="20"/>
              </w:rPr>
            </w:pPr>
          </w:p>
        </w:tc>
      </w:tr>
      <w:tr w:rsidR="00B90323" w14:paraId="791EC47D" w14:textId="77777777" w:rsidTr="00DF32BA">
        <w:trPr>
          <w:trHeight w:val="241"/>
        </w:trPr>
        <w:tc>
          <w:tcPr>
            <w:tcW w:w="704" w:type="dxa"/>
            <w:tcBorders>
              <w:top w:val="nil"/>
              <w:left w:val="nil"/>
              <w:bottom w:val="nil"/>
              <w:right w:val="nil"/>
            </w:tcBorders>
          </w:tcPr>
          <w:p w14:paraId="5CE5A24E" w14:textId="290B09E9" w:rsidR="00B90323" w:rsidRPr="003542FD" w:rsidRDefault="000826B8" w:rsidP="00B90323">
            <w:pPr>
              <w:rPr>
                <w:rFonts w:ascii="Arial" w:hAnsi="Arial" w:cs="Arial"/>
                <w:b/>
                <w:color w:val="1F4E79" w:themeColor="accent1" w:themeShade="80"/>
                <w:sz w:val="24"/>
                <w:szCs w:val="24"/>
              </w:rPr>
            </w:pPr>
            <w:r w:rsidRPr="003542FD">
              <w:rPr>
                <w:rFonts w:ascii="Arial" w:hAnsi="Arial" w:cs="Arial"/>
                <w:b/>
                <w:color w:val="1F4E79" w:themeColor="accent1" w:themeShade="80"/>
                <w:sz w:val="24"/>
                <w:szCs w:val="24"/>
              </w:rPr>
              <w:t>7.</w:t>
            </w:r>
          </w:p>
        </w:tc>
        <w:tc>
          <w:tcPr>
            <w:tcW w:w="6946" w:type="dxa"/>
            <w:tcBorders>
              <w:top w:val="nil"/>
              <w:left w:val="nil"/>
              <w:bottom w:val="nil"/>
              <w:right w:val="nil"/>
            </w:tcBorders>
          </w:tcPr>
          <w:p w14:paraId="70907688" w14:textId="5EE6335F" w:rsidR="00B90323" w:rsidRPr="003542FD" w:rsidRDefault="00B90323" w:rsidP="00B90323">
            <w:pPr>
              <w:rPr>
                <w:rFonts w:ascii="Arial" w:hAnsi="Arial" w:cs="Arial"/>
                <w:b/>
                <w:bCs/>
                <w:color w:val="1F4E79" w:themeColor="accent1" w:themeShade="80"/>
                <w:sz w:val="24"/>
                <w:szCs w:val="24"/>
              </w:rPr>
            </w:pPr>
            <w:r w:rsidRPr="003542FD">
              <w:rPr>
                <w:rFonts w:ascii="Arial" w:hAnsi="Arial" w:cs="Arial"/>
                <w:b/>
                <w:bCs/>
                <w:color w:val="1F4E79" w:themeColor="accent1" w:themeShade="80"/>
                <w:sz w:val="24"/>
                <w:szCs w:val="24"/>
              </w:rPr>
              <w:t>REVOKE EMERGENCY REGULATIONS</w:t>
            </w:r>
          </w:p>
        </w:tc>
        <w:tc>
          <w:tcPr>
            <w:tcW w:w="2806" w:type="dxa"/>
            <w:tcBorders>
              <w:top w:val="nil"/>
              <w:left w:val="nil"/>
              <w:bottom w:val="nil"/>
              <w:right w:val="nil"/>
            </w:tcBorders>
          </w:tcPr>
          <w:p w14:paraId="71202455" w14:textId="77777777" w:rsidR="00B90323" w:rsidRPr="003542FD" w:rsidRDefault="00B90323" w:rsidP="00B90323">
            <w:pPr>
              <w:jc w:val="right"/>
              <w:rPr>
                <w:rFonts w:ascii="Arial" w:hAnsi="Arial" w:cs="Arial"/>
                <w:color w:val="1F4E79" w:themeColor="accent1" w:themeShade="80"/>
                <w:sz w:val="24"/>
                <w:szCs w:val="24"/>
              </w:rPr>
            </w:pPr>
          </w:p>
        </w:tc>
      </w:tr>
      <w:tr w:rsidR="00B90323" w14:paraId="09A8C18F" w14:textId="77777777" w:rsidTr="00DF32BA">
        <w:trPr>
          <w:trHeight w:val="256"/>
        </w:trPr>
        <w:tc>
          <w:tcPr>
            <w:tcW w:w="704" w:type="dxa"/>
            <w:tcBorders>
              <w:top w:val="nil"/>
              <w:left w:val="nil"/>
              <w:bottom w:val="nil"/>
              <w:right w:val="nil"/>
            </w:tcBorders>
          </w:tcPr>
          <w:p w14:paraId="4428887A" w14:textId="77ADBAF6" w:rsidR="00B90323" w:rsidRPr="003542FD" w:rsidRDefault="000826B8" w:rsidP="00B90323">
            <w:pPr>
              <w:rPr>
                <w:rFonts w:ascii="Arial" w:hAnsi="Arial" w:cs="Arial"/>
                <w:b/>
                <w:color w:val="1F4E79" w:themeColor="accent1" w:themeShade="80"/>
                <w:sz w:val="24"/>
                <w:szCs w:val="24"/>
              </w:rPr>
            </w:pPr>
            <w:r w:rsidRPr="003542FD">
              <w:rPr>
                <w:rFonts w:ascii="Arial" w:hAnsi="Arial" w:cs="Arial"/>
                <w:b/>
                <w:color w:val="1F4E79" w:themeColor="accent1" w:themeShade="80"/>
                <w:sz w:val="24"/>
                <w:szCs w:val="24"/>
              </w:rPr>
              <w:t>7.1</w:t>
            </w:r>
          </w:p>
        </w:tc>
        <w:tc>
          <w:tcPr>
            <w:tcW w:w="6946" w:type="dxa"/>
            <w:tcBorders>
              <w:top w:val="nil"/>
              <w:left w:val="nil"/>
              <w:bottom w:val="nil"/>
              <w:right w:val="nil"/>
            </w:tcBorders>
          </w:tcPr>
          <w:p w14:paraId="62089579" w14:textId="1978048A" w:rsidR="00B90323" w:rsidRPr="003542FD" w:rsidRDefault="00E5133B" w:rsidP="00B90323">
            <w:pPr>
              <w:rPr>
                <w:rFonts w:ascii="Arial" w:hAnsi="Arial" w:cs="Arial"/>
                <w:color w:val="1F4E79" w:themeColor="accent1" w:themeShade="80"/>
                <w:sz w:val="24"/>
                <w:szCs w:val="24"/>
              </w:rPr>
            </w:pPr>
            <w:r w:rsidRPr="003542FD">
              <w:rPr>
                <w:rFonts w:ascii="Arial" w:hAnsi="Arial" w:cs="Arial"/>
                <w:color w:val="1F4E79" w:themeColor="accent1" w:themeShade="80"/>
                <w:sz w:val="24"/>
                <w:szCs w:val="24"/>
              </w:rPr>
              <w:t xml:space="preserve">Revocation of the emergency regulations was approved for the Queensgate campus, with the exemption of the emergency regulations remaining in place for collaborative partners. It was noted that the 2019/20 safety net may remain in place for any students whose award is conferred in 2022/23.  </w:t>
            </w:r>
          </w:p>
        </w:tc>
        <w:tc>
          <w:tcPr>
            <w:tcW w:w="2806" w:type="dxa"/>
            <w:tcBorders>
              <w:top w:val="nil"/>
              <w:left w:val="nil"/>
              <w:bottom w:val="nil"/>
              <w:right w:val="nil"/>
            </w:tcBorders>
          </w:tcPr>
          <w:p w14:paraId="7E5B2509" w14:textId="29EF74A9" w:rsidR="00B90323" w:rsidRPr="003542FD" w:rsidRDefault="00B90323" w:rsidP="00B90323">
            <w:pPr>
              <w:jc w:val="right"/>
              <w:rPr>
                <w:rFonts w:ascii="Arial" w:hAnsi="Arial" w:cs="Arial"/>
                <w:color w:val="1F4E79" w:themeColor="accent1" w:themeShade="80"/>
                <w:sz w:val="24"/>
                <w:szCs w:val="24"/>
              </w:rPr>
            </w:pPr>
          </w:p>
        </w:tc>
      </w:tr>
      <w:tr w:rsidR="00B90323" w14:paraId="35219B96" w14:textId="77777777" w:rsidTr="00DF32BA">
        <w:trPr>
          <w:trHeight w:val="256"/>
        </w:trPr>
        <w:tc>
          <w:tcPr>
            <w:tcW w:w="704" w:type="dxa"/>
            <w:tcBorders>
              <w:top w:val="nil"/>
              <w:left w:val="nil"/>
              <w:bottom w:val="nil"/>
              <w:right w:val="nil"/>
            </w:tcBorders>
          </w:tcPr>
          <w:p w14:paraId="0DB20566" w14:textId="77777777" w:rsidR="00B90323" w:rsidRDefault="00B90323" w:rsidP="00B90323">
            <w:pPr>
              <w:rPr>
                <w:rFonts w:ascii="Arial" w:hAnsi="Arial" w:cs="Arial"/>
                <w:b/>
                <w:color w:val="1F4E79" w:themeColor="accent1" w:themeShade="80"/>
              </w:rPr>
            </w:pPr>
          </w:p>
        </w:tc>
        <w:tc>
          <w:tcPr>
            <w:tcW w:w="6946" w:type="dxa"/>
            <w:tcBorders>
              <w:top w:val="nil"/>
              <w:left w:val="nil"/>
              <w:bottom w:val="nil"/>
              <w:right w:val="nil"/>
            </w:tcBorders>
          </w:tcPr>
          <w:p w14:paraId="0185DD58" w14:textId="77777777" w:rsidR="00B90323" w:rsidRPr="00A654A0" w:rsidRDefault="00B90323" w:rsidP="00B90323">
            <w:pPr>
              <w:rPr>
                <w:rFonts w:ascii="Arial" w:hAnsi="Arial" w:cs="Arial"/>
                <w:color w:val="000000" w:themeColor="text1"/>
              </w:rPr>
            </w:pPr>
          </w:p>
        </w:tc>
        <w:tc>
          <w:tcPr>
            <w:tcW w:w="2806" w:type="dxa"/>
            <w:tcBorders>
              <w:top w:val="nil"/>
              <w:left w:val="nil"/>
              <w:bottom w:val="nil"/>
              <w:right w:val="nil"/>
            </w:tcBorders>
          </w:tcPr>
          <w:p w14:paraId="078930CB" w14:textId="77777777" w:rsidR="00B90323" w:rsidRPr="003F50C0" w:rsidRDefault="00B90323" w:rsidP="00B90323">
            <w:pPr>
              <w:jc w:val="right"/>
              <w:rPr>
                <w:rFonts w:ascii="Arial" w:hAnsi="Arial" w:cs="Arial"/>
                <w:sz w:val="20"/>
                <w:szCs w:val="20"/>
              </w:rPr>
            </w:pPr>
          </w:p>
        </w:tc>
      </w:tr>
      <w:tr w:rsidR="00B90323" w14:paraId="7C3F851A" w14:textId="77777777" w:rsidTr="00DF32BA">
        <w:trPr>
          <w:trHeight w:val="256"/>
        </w:trPr>
        <w:tc>
          <w:tcPr>
            <w:tcW w:w="704" w:type="dxa"/>
            <w:tcBorders>
              <w:top w:val="nil"/>
              <w:left w:val="nil"/>
              <w:bottom w:val="nil"/>
              <w:right w:val="nil"/>
            </w:tcBorders>
          </w:tcPr>
          <w:p w14:paraId="3247ABF6" w14:textId="794B5060" w:rsidR="00B90323" w:rsidRPr="003542FD" w:rsidRDefault="002C184A" w:rsidP="00B90323">
            <w:pPr>
              <w:rPr>
                <w:rFonts w:ascii="Arial" w:hAnsi="Arial" w:cs="Arial"/>
                <w:b/>
                <w:color w:val="1F4E79" w:themeColor="accent1" w:themeShade="80"/>
                <w:sz w:val="24"/>
                <w:szCs w:val="24"/>
              </w:rPr>
            </w:pPr>
            <w:r w:rsidRPr="003542FD">
              <w:rPr>
                <w:rFonts w:ascii="Arial" w:hAnsi="Arial" w:cs="Arial"/>
                <w:b/>
                <w:color w:val="1F4E79" w:themeColor="accent1" w:themeShade="80"/>
                <w:sz w:val="24"/>
                <w:szCs w:val="24"/>
              </w:rPr>
              <w:t>8.</w:t>
            </w:r>
          </w:p>
        </w:tc>
        <w:tc>
          <w:tcPr>
            <w:tcW w:w="6946" w:type="dxa"/>
            <w:tcBorders>
              <w:top w:val="nil"/>
              <w:left w:val="nil"/>
              <w:bottom w:val="nil"/>
              <w:right w:val="nil"/>
            </w:tcBorders>
          </w:tcPr>
          <w:p w14:paraId="029CC607" w14:textId="4A8404F9" w:rsidR="00B90323" w:rsidRPr="003542FD" w:rsidRDefault="00B90323" w:rsidP="00B90323">
            <w:pPr>
              <w:rPr>
                <w:rFonts w:ascii="Arial" w:hAnsi="Arial" w:cs="Arial"/>
                <w:b/>
                <w:bCs/>
                <w:color w:val="1F4E79" w:themeColor="accent1" w:themeShade="80"/>
                <w:sz w:val="24"/>
                <w:szCs w:val="24"/>
              </w:rPr>
            </w:pPr>
            <w:r w:rsidRPr="003542FD">
              <w:rPr>
                <w:rFonts w:ascii="Arial" w:hAnsi="Arial" w:cs="Arial"/>
                <w:b/>
                <w:bCs/>
                <w:color w:val="1F4E79" w:themeColor="accent1" w:themeShade="80"/>
                <w:sz w:val="24"/>
                <w:szCs w:val="24"/>
              </w:rPr>
              <w:t>UNFORSEEN TERMINATION OF STUDENTS PLACEMENT POLICY</w:t>
            </w:r>
          </w:p>
        </w:tc>
        <w:tc>
          <w:tcPr>
            <w:tcW w:w="2806" w:type="dxa"/>
            <w:tcBorders>
              <w:top w:val="nil"/>
              <w:left w:val="nil"/>
              <w:bottom w:val="nil"/>
              <w:right w:val="nil"/>
            </w:tcBorders>
          </w:tcPr>
          <w:p w14:paraId="53659CDC" w14:textId="77777777" w:rsidR="00B90323" w:rsidRPr="003542FD" w:rsidRDefault="00B90323" w:rsidP="00B90323">
            <w:pPr>
              <w:jc w:val="right"/>
              <w:rPr>
                <w:rFonts w:ascii="Arial" w:hAnsi="Arial" w:cs="Arial"/>
                <w:color w:val="1F4E79" w:themeColor="accent1" w:themeShade="80"/>
                <w:sz w:val="24"/>
                <w:szCs w:val="24"/>
              </w:rPr>
            </w:pPr>
          </w:p>
        </w:tc>
      </w:tr>
      <w:tr w:rsidR="00B90323" w14:paraId="27505969" w14:textId="77777777" w:rsidTr="00DF32BA">
        <w:trPr>
          <w:trHeight w:val="256"/>
        </w:trPr>
        <w:tc>
          <w:tcPr>
            <w:tcW w:w="704" w:type="dxa"/>
            <w:tcBorders>
              <w:top w:val="nil"/>
              <w:left w:val="nil"/>
              <w:bottom w:val="nil"/>
              <w:right w:val="nil"/>
            </w:tcBorders>
          </w:tcPr>
          <w:p w14:paraId="1CABCD43" w14:textId="148A3F67" w:rsidR="00B90323" w:rsidRPr="003542FD" w:rsidRDefault="002C184A" w:rsidP="00B90323">
            <w:pPr>
              <w:rPr>
                <w:rFonts w:ascii="Arial" w:hAnsi="Arial" w:cs="Arial"/>
                <w:b/>
                <w:color w:val="1F4E79" w:themeColor="accent1" w:themeShade="80"/>
                <w:sz w:val="24"/>
                <w:szCs w:val="24"/>
              </w:rPr>
            </w:pPr>
            <w:r w:rsidRPr="003542FD">
              <w:rPr>
                <w:rFonts w:ascii="Arial" w:hAnsi="Arial" w:cs="Arial"/>
                <w:b/>
                <w:color w:val="1F4E79" w:themeColor="accent1" w:themeShade="80"/>
                <w:sz w:val="24"/>
                <w:szCs w:val="24"/>
              </w:rPr>
              <w:t>8.1</w:t>
            </w:r>
          </w:p>
        </w:tc>
        <w:tc>
          <w:tcPr>
            <w:tcW w:w="6946" w:type="dxa"/>
            <w:tcBorders>
              <w:top w:val="nil"/>
              <w:left w:val="nil"/>
              <w:bottom w:val="nil"/>
              <w:right w:val="nil"/>
            </w:tcBorders>
          </w:tcPr>
          <w:p w14:paraId="05EE529E" w14:textId="11DA66D4" w:rsidR="00B90323" w:rsidRPr="003542FD" w:rsidRDefault="00E5133B" w:rsidP="00B90323">
            <w:pPr>
              <w:rPr>
                <w:rFonts w:ascii="Arial" w:hAnsi="Arial" w:cs="Arial"/>
                <w:color w:val="1F4E79" w:themeColor="accent1" w:themeShade="80"/>
                <w:sz w:val="24"/>
                <w:szCs w:val="24"/>
              </w:rPr>
            </w:pPr>
            <w:r w:rsidRPr="003542FD">
              <w:rPr>
                <w:rFonts w:ascii="Arial" w:hAnsi="Arial" w:cs="Arial"/>
                <w:color w:val="1F4E79" w:themeColor="accent1" w:themeShade="80"/>
                <w:sz w:val="24"/>
                <w:szCs w:val="24"/>
              </w:rPr>
              <w:t>T</w:t>
            </w:r>
            <w:r w:rsidR="00B90323" w:rsidRPr="003542FD">
              <w:rPr>
                <w:rFonts w:ascii="Arial" w:hAnsi="Arial" w:cs="Arial"/>
                <w:color w:val="1F4E79" w:themeColor="accent1" w:themeShade="80"/>
                <w:sz w:val="24"/>
                <w:szCs w:val="24"/>
              </w:rPr>
              <w:t xml:space="preserve">he </w:t>
            </w:r>
            <w:r w:rsidRPr="003542FD">
              <w:rPr>
                <w:rFonts w:ascii="Arial" w:hAnsi="Arial" w:cs="Arial"/>
                <w:color w:val="1F4E79" w:themeColor="accent1" w:themeShade="80"/>
                <w:sz w:val="24"/>
                <w:szCs w:val="24"/>
              </w:rPr>
              <w:t xml:space="preserve">unforeseen termination of student placement </w:t>
            </w:r>
            <w:r w:rsidR="00B90323" w:rsidRPr="003542FD">
              <w:rPr>
                <w:rFonts w:ascii="Arial" w:hAnsi="Arial" w:cs="Arial"/>
                <w:color w:val="1F4E79" w:themeColor="accent1" w:themeShade="80"/>
                <w:sz w:val="24"/>
                <w:szCs w:val="24"/>
              </w:rPr>
              <w:t xml:space="preserve">policy </w:t>
            </w:r>
            <w:r w:rsidRPr="003542FD">
              <w:rPr>
                <w:rFonts w:ascii="Arial" w:hAnsi="Arial" w:cs="Arial"/>
                <w:color w:val="1F4E79" w:themeColor="accent1" w:themeShade="80"/>
                <w:sz w:val="24"/>
                <w:szCs w:val="24"/>
              </w:rPr>
              <w:t xml:space="preserve">was approved.  </w:t>
            </w:r>
          </w:p>
        </w:tc>
        <w:tc>
          <w:tcPr>
            <w:tcW w:w="2806" w:type="dxa"/>
            <w:tcBorders>
              <w:top w:val="nil"/>
              <w:left w:val="nil"/>
              <w:bottom w:val="nil"/>
              <w:right w:val="nil"/>
            </w:tcBorders>
          </w:tcPr>
          <w:p w14:paraId="73FAB808" w14:textId="77777777" w:rsidR="003542FD" w:rsidRPr="003542FD" w:rsidRDefault="003542FD" w:rsidP="003542FD">
            <w:pPr>
              <w:jc w:val="right"/>
              <w:rPr>
                <w:rFonts w:ascii="Arial" w:hAnsi="Arial" w:cs="Arial"/>
                <w:color w:val="1F4E79" w:themeColor="accent1" w:themeShade="80"/>
                <w:sz w:val="24"/>
                <w:szCs w:val="24"/>
              </w:rPr>
            </w:pPr>
            <w:r w:rsidRPr="003542FD">
              <w:rPr>
                <w:rFonts w:ascii="Arial" w:hAnsi="Arial" w:cs="Arial"/>
                <w:color w:val="1F4E79" w:themeColor="accent1" w:themeShade="80"/>
                <w:sz w:val="24"/>
                <w:szCs w:val="24"/>
              </w:rPr>
              <w:t>UTLC_2022_05_18_P8.1</w:t>
            </w:r>
          </w:p>
          <w:p w14:paraId="22E4319F" w14:textId="4705AFA5" w:rsidR="00B90323" w:rsidRPr="003542FD" w:rsidRDefault="00B90323" w:rsidP="00B90323">
            <w:pPr>
              <w:jc w:val="right"/>
              <w:rPr>
                <w:rFonts w:ascii="Arial" w:hAnsi="Arial" w:cs="Arial"/>
                <w:color w:val="1F4E79" w:themeColor="accent1" w:themeShade="80"/>
                <w:sz w:val="24"/>
                <w:szCs w:val="24"/>
              </w:rPr>
            </w:pPr>
          </w:p>
        </w:tc>
      </w:tr>
      <w:tr w:rsidR="00B90323" w14:paraId="2D91128A" w14:textId="77777777" w:rsidTr="00DF32BA">
        <w:trPr>
          <w:trHeight w:val="256"/>
        </w:trPr>
        <w:tc>
          <w:tcPr>
            <w:tcW w:w="704" w:type="dxa"/>
            <w:tcBorders>
              <w:top w:val="nil"/>
              <w:left w:val="nil"/>
              <w:bottom w:val="nil"/>
              <w:right w:val="nil"/>
            </w:tcBorders>
          </w:tcPr>
          <w:p w14:paraId="3B64E391" w14:textId="77777777" w:rsidR="00B90323" w:rsidRDefault="00B90323" w:rsidP="00B90323">
            <w:pPr>
              <w:rPr>
                <w:rFonts w:ascii="Arial" w:hAnsi="Arial" w:cs="Arial"/>
                <w:b/>
                <w:color w:val="1F4E79" w:themeColor="accent1" w:themeShade="80"/>
              </w:rPr>
            </w:pPr>
          </w:p>
        </w:tc>
        <w:tc>
          <w:tcPr>
            <w:tcW w:w="6946" w:type="dxa"/>
            <w:tcBorders>
              <w:top w:val="nil"/>
              <w:left w:val="nil"/>
              <w:bottom w:val="nil"/>
              <w:right w:val="nil"/>
            </w:tcBorders>
          </w:tcPr>
          <w:p w14:paraId="287AFE7B" w14:textId="77777777" w:rsidR="00B90323" w:rsidRPr="001A1180" w:rsidRDefault="00B90323" w:rsidP="00B90323">
            <w:pPr>
              <w:rPr>
                <w:rFonts w:ascii="Arial" w:hAnsi="Arial" w:cs="Arial"/>
                <w:color w:val="FF0000"/>
              </w:rPr>
            </w:pPr>
          </w:p>
        </w:tc>
        <w:tc>
          <w:tcPr>
            <w:tcW w:w="2806" w:type="dxa"/>
            <w:tcBorders>
              <w:top w:val="nil"/>
              <w:left w:val="nil"/>
              <w:bottom w:val="nil"/>
              <w:right w:val="nil"/>
            </w:tcBorders>
          </w:tcPr>
          <w:p w14:paraId="11816F21" w14:textId="77777777" w:rsidR="00B90323" w:rsidRPr="003F50C0" w:rsidRDefault="00B90323" w:rsidP="00B90323">
            <w:pPr>
              <w:jc w:val="right"/>
              <w:rPr>
                <w:rFonts w:ascii="Arial" w:hAnsi="Arial" w:cs="Arial"/>
                <w:sz w:val="20"/>
                <w:szCs w:val="20"/>
              </w:rPr>
            </w:pPr>
          </w:p>
        </w:tc>
      </w:tr>
      <w:tr w:rsidR="00B90323" w14:paraId="2D37ECA1" w14:textId="77777777" w:rsidTr="00DF32BA">
        <w:trPr>
          <w:trHeight w:val="497"/>
        </w:trPr>
        <w:tc>
          <w:tcPr>
            <w:tcW w:w="704" w:type="dxa"/>
            <w:tcBorders>
              <w:top w:val="nil"/>
              <w:left w:val="nil"/>
              <w:bottom w:val="nil"/>
              <w:right w:val="nil"/>
            </w:tcBorders>
          </w:tcPr>
          <w:p w14:paraId="467D8C1F" w14:textId="541D2CE1" w:rsidR="00B90323" w:rsidRPr="00B67F40" w:rsidRDefault="002C184A" w:rsidP="00B90323">
            <w:pPr>
              <w:rPr>
                <w:rFonts w:ascii="Arial" w:hAnsi="Arial" w:cs="Arial"/>
                <w:b/>
                <w:color w:val="1F4E79" w:themeColor="accent1" w:themeShade="80"/>
                <w:sz w:val="24"/>
                <w:szCs w:val="24"/>
              </w:rPr>
            </w:pPr>
            <w:r w:rsidRPr="00B67F40">
              <w:rPr>
                <w:rFonts w:ascii="Arial" w:hAnsi="Arial" w:cs="Arial"/>
                <w:b/>
                <w:color w:val="1F4E79" w:themeColor="accent1" w:themeShade="80"/>
                <w:sz w:val="24"/>
                <w:szCs w:val="24"/>
              </w:rPr>
              <w:t>9</w:t>
            </w:r>
            <w:r w:rsidR="00B90323" w:rsidRPr="00B67F40">
              <w:rPr>
                <w:rFonts w:ascii="Arial" w:hAnsi="Arial" w:cs="Arial"/>
                <w:b/>
                <w:color w:val="1F4E79" w:themeColor="accent1" w:themeShade="80"/>
                <w:sz w:val="24"/>
                <w:szCs w:val="24"/>
              </w:rPr>
              <w:t>.</w:t>
            </w:r>
          </w:p>
        </w:tc>
        <w:tc>
          <w:tcPr>
            <w:tcW w:w="6946" w:type="dxa"/>
            <w:tcBorders>
              <w:top w:val="nil"/>
              <w:left w:val="nil"/>
              <w:bottom w:val="nil"/>
              <w:right w:val="nil"/>
            </w:tcBorders>
          </w:tcPr>
          <w:p w14:paraId="59756E0E" w14:textId="3404C1D5" w:rsidR="00B90323" w:rsidRPr="00B67F40" w:rsidRDefault="00B90323" w:rsidP="00B90323">
            <w:pPr>
              <w:rPr>
                <w:rFonts w:ascii="Arial" w:hAnsi="Arial" w:cs="Arial"/>
                <w:b/>
                <w:color w:val="1F4E79" w:themeColor="accent1" w:themeShade="80"/>
                <w:sz w:val="24"/>
                <w:szCs w:val="24"/>
              </w:rPr>
            </w:pPr>
            <w:r w:rsidRPr="00B67F40">
              <w:rPr>
                <w:rFonts w:ascii="Arial" w:hAnsi="Arial" w:cs="Arial"/>
                <w:b/>
                <w:bCs/>
                <w:color w:val="1F4E79" w:themeColor="accent1" w:themeShade="80"/>
                <w:sz w:val="24"/>
                <w:szCs w:val="24"/>
              </w:rPr>
              <w:t xml:space="preserve">APPEALS AGAINST DECISIONS TO WITHDRAW STUDENTS BASED ON POOR ATTENDANCE </w:t>
            </w:r>
          </w:p>
        </w:tc>
        <w:tc>
          <w:tcPr>
            <w:tcW w:w="2806" w:type="dxa"/>
            <w:tcBorders>
              <w:top w:val="nil"/>
              <w:left w:val="nil"/>
              <w:bottom w:val="nil"/>
              <w:right w:val="nil"/>
            </w:tcBorders>
          </w:tcPr>
          <w:p w14:paraId="090C0567" w14:textId="2A5B360E" w:rsidR="00B90323" w:rsidRPr="00B67F40" w:rsidRDefault="00B90323" w:rsidP="00B90323">
            <w:pPr>
              <w:jc w:val="right"/>
              <w:rPr>
                <w:rFonts w:ascii="Arial" w:hAnsi="Arial" w:cs="Arial"/>
                <w:color w:val="1F4E79" w:themeColor="accent1" w:themeShade="80"/>
                <w:sz w:val="24"/>
                <w:szCs w:val="24"/>
              </w:rPr>
            </w:pPr>
          </w:p>
        </w:tc>
      </w:tr>
      <w:tr w:rsidR="00B90323" w14:paraId="7251F4DC" w14:textId="77777777" w:rsidTr="00DF32BA">
        <w:trPr>
          <w:trHeight w:val="2803"/>
        </w:trPr>
        <w:tc>
          <w:tcPr>
            <w:tcW w:w="704" w:type="dxa"/>
            <w:tcBorders>
              <w:top w:val="nil"/>
              <w:left w:val="nil"/>
              <w:bottom w:val="nil"/>
              <w:right w:val="nil"/>
            </w:tcBorders>
          </w:tcPr>
          <w:p w14:paraId="557D9668" w14:textId="4E0B2C06" w:rsidR="00B90323" w:rsidRPr="00B67F40" w:rsidRDefault="002C184A" w:rsidP="00B90323">
            <w:pPr>
              <w:rPr>
                <w:rFonts w:ascii="Arial" w:hAnsi="Arial" w:cs="Arial"/>
                <w:b/>
                <w:color w:val="1F4E79" w:themeColor="accent1" w:themeShade="80"/>
                <w:sz w:val="24"/>
                <w:szCs w:val="24"/>
              </w:rPr>
            </w:pPr>
            <w:r w:rsidRPr="00B67F40">
              <w:rPr>
                <w:rFonts w:ascii="Arial" w:hAnsi="Arial" w:cs="Arial"/>
                <w:b/>
                <w:color w:val="1F4E79" w:themeColor="accent1" w:themeShade="80"/>
                <w:sz w:val="24"/>
                <w:szCs w:val="24"/>
              </w:rPr>
              <w:t>9</w:t>
            </w:r>
            <w:r w:rsidR="00B90323" w:rsidRPr="00B67F40">
              <w:rPr>
                <w:rFonts w:ascii="Arial" w:hAnsi="Arial" w:cs="Arial"/>
                <w:b/>
                <w:color w:val="1F4E79" w:themeColor="accent1" w:themeShade="80"/>
                <w:sz w:val="24"/>
                <w:szCs w:val="24"/>
              </w:rPr>
              <w:t>.1</w:t>
            </w:r>
          </w:p>
        </w:tc>
        <w:tc>
          <w:tcPr>
            <w:tcW w:w="6946" w:type="dxa"/>
            <w:tcBorders>
              <w:top w:val="nil"/>
              <w:left w:val="nil"/>
              <w:bottom w:val="nil"/>
              <w:right w:val="nil"/>
            </w:tcBorders>
          </w:tcPr>
          <w:p w14:paraId="0C2578CC" w14:textId="358CDE06" w:rsidR="00A81D37" w:rsidRPr="00B67F40" w:rsidRDefault="00A81D37" w:rsidP="00A81D37">
            <w:pPr>
              <w:rPr>
                <w:rFonts w:ascii="Arial" w:hAnsi="Arial" w:cs="Arial"/>
                <w:color w:val="1F4E79" w:themeColor="accent1" w:themeShade="80"/>
                <w:sz w:val="24"/>
                <w:szCs w:val="24"/>
              </w:rPr>
            </w:pPr>
            <w:r w:rsidRPr="00B67F40">
              <w:rPr>
                <w:rFonts w:ascii="Arial" w:hAnsi="Arial" w:cs="Arial"/>
                <w:color w:val="1F4E79" w:themeColor="accent1" w:themeShade="80"/>
                <w:sz w:val="24"/>
                <w:szCs w:val="24"/>
              </w:rPr>
              <w:t>Withdrawal Appeals Received to date (11 May)</w:t>
            </w:r>
          </w:p>
          <w:p w14:paraId="782E5741" w14:textId="77777777" w:rsidR="00A81D37" w:rsidRPr="00B67F40" w:rsidRDefault="00A81D37" w:rsidP="00A81D37">
            <w:pPr>
              <w:rPr>
                <w:rFonts w:ascii="Arial" w:hAnsi="Arial" w:cs="Arial"/>
                <w:color w:val="1F4E79" w:themeColor="accent1" w:themeShade="80"/>
                <w:sz w:val="24"/>
                <w:szCs w:val="24"/>
              </w:rPr>
            </w:pPr>
          </w:p>
          <w:tbl>
            <w:tblPr>
              <w:tblStyle w:val="TableGrid1"/>
              <w:tblW w:w="0" w:type="auto"/>
              <w:tblLayout w:type="fixed"/>
              <w:tblLook w:val="04A0" w:firstRow="1" w:lastRow="0" w:firstColumn="1" w:lastColumn="0" w:noHBand="0" w:noVBand="1"/>
            </w:tblPr>
            <w:tblGrid>
              <w:gridCol w:w="1121"/>
              <w:gridCol w:w="1270"/>
              <w:gridCol w:w="993"/>
              <w:gridCol w:w="1443"/>
              <w:gridCol w:w="957"/>
              <w:gridCol w:w="957"/>
            </w:tblGrid>
            <w:tr w:rsidR="00B67F40" w:rsidRPr="00B67F40" w14:paraId="165A6C98" w14:textId="77777777" w:rsidTr="00DE22B0">
              <w:trPr>
                <w:trHeight w:val="141"/>
              </w:trPr>
              <w:tc>
                <w:tcPr>
                  <w:tcW w:w="1121" w:type="dxa"/>
                </w:tcPr>
                <w:p w14:paraId="1497CE87"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Year</w:t>
                  </w:r>
                </w:p>
              </w:tc>
              <w:tc>
                <w:tcPr>
                  <w:tcW w:w="1270" w:type="dxa"/>
                </w:tcPr>
                <w:p w14:paraId="1EDACF29"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Total Withdrawn*</w:t>
                  </w:r>
                </w:p>
              </w:tc>
              <w:tc>
                <w:tcPr>
                  <w:tcW w:w="993" w:type="dxa"/>
                </w:tcPr>
                <w:p w14:paraId="4B4A21A0"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Appeals received</w:t>
                  </w:r>
                </w:p>
              </w:tc>
              <w:tc>
                <w:tcPr>
                  <w:tcW w:w="1443" w:type="dxa"/>
                </w:tcPr>
                <w:p w14:paraId="75F8C6C5"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Appeals under consideration</w:t>
                  </w:r>
                </w:p>
              </w:tc>
              <w:tc>
                <w:tcPr>
                  <w:tcW w:w="957" w:type="dxa"/>
                </w:tcPr>
                <w:p w14:paraId="63EE76FD"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Appeals upheld</w:t>
                  </w:r>
                </w:p>
              </w:tc>
              <w:tc>
                <w:tcPr>
                  <w:tcW w:w="957" w:type="dxa"/>
                </w:tcPr>
                <w:p w14:paraId="4E57B8D4"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Appeals not upheld</w:t>
                  </w:r>
                </w:p>
              </w:tc>
            </w:tr>
            <w:tr w:rsidR="00B67F40" w:rsidRPr="00B67F40" w14:paraId="6F25F7E7" w14:textId="77777777" w:rsidTr="00DE22B0">
              <w:trPr>
                <w:trHeight w:val="141"/>
              </w:trPr>
              <w:tc>
                <w:tcPr>
                  <w:tcW w:w="1121" w:type="dxa"/>
                </w:tcPr>
                <w:p w14:paraId="2604B2F3"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2021/22</w:t>
                  </w:r>
                </w:p>
              </w:tc>
              <w:tc>
                <w:tcPr>
                  <w:tcW w:w="1270" w:type="dxa"/>
                </w:tcPr>
                <w:p w14:paraId="1D51E2CE" w14:textId="0F37D715" w:rsidR="0039611F" w:rsidRPr="00B67F40" w:rsidRDefault="00E80CB2"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13***</w:t>
                  </w:r>
                </w:p>
              </w:tc>
              <w:tc>
                <w:tcPr>
                  <w:tcW w:w="993" w:type="dxa"/>
                </w:tcPr>
                <w:p w14:paraId="6976BA19"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16</w:t>
                  </w:r>
                </w:p>
              </w:tc>
              <w:tc>
                <w:tcPr>
                  <w:tcW w:w="1443" w:type="dxa"/>
                </w:tcPr>
                <w:p w14:paraId="0ACE32F1"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3</w:t>
                  </w:r>
                </w:p>
              </w:tc>
              <w:tc>
                <w:tcPr>
                  <w:tcW w:w="957" w:type="dxa"/>
                </w:tcPr>
                <w:p w14:paraId="23850392"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2</w:t>
                  </w:r>
                </w:p>
              </w:tc>
              <w:tc>
                <w:tcPr>
                  <w:tcW w:w="957" w:type="dxa"/>
                </w:tcPr>
                <w:p w14:paraId="40E6BE79"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11</w:t>
                  </w:r>
                </w:p>
              </w:tc>
            </w:tr>
            <w:tr w:rsidR="00B67F40" w:rsidRPr="00B67F40" w14:paraId="2153A31B" w14:textId="77777777" w:rsidTr="00DE22B0">
              <w:trPr>
                <w:trHeight w:val="141"/>
              </w:trPr>
              <w:tc>
                <w:tcPr>
                  <w:tcW w:w="1121" w:type="dxa"/>
                </w:tcPr>
                <w:p w14:paraId="1EA451DB"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2018/19**</w:t>
                  </w:r>
                </w:p>
              </w:tc>
              <w:tc>
                <w:tcPr>
                  <w:tcW w:w="1270" w:type="dxa"/>
                </w:tcPr>
                <w:p w14:paraId="20E4F8A1"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N/A</w:t>
                  </w:r>
                </w:p>
              </w:tc>
              <w:tc>
                <w:tcPr>
                  <w:tcW w:w="993" w:type="dxa"/>
                </w:tcPr>
                <w:p w14:paraId="0B230990"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96</w:t>
                  </w:r>
                </w:p>
              </w:tc>
              <w:tc>
                <w:tcPr>
                  <w:tcW w:w="1443" w:type="dxa"/>
                </w:tcPr>
                <w:p w14:paraId="5A32A151"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0</w:t>
                  </w:r>
                </w:p>
              </w:tc>
              <w:tc>
                <w:tcPr>
                  <w:tcW w:w="957" w:type="dxa"/>
                </w:tcPr>
                <w:p w14:paraId="63638F9E"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59</w:t>
                  </w:r>
                </w:p>
              </w:tc>
              <w:tc>
                <w:tcPr>
                  <w:tcW w:w="957" w:type="dxa"/>
                </w:tcPr>
                <w:p w14:paraId="7D898F83" w14:textId="77777777" w:rsidR="00A81D37" w:rsidRPr="00B67F40" w:rsidRDefault="00A81D37" w:rsidP="00A81D37">
                  <w:pPr>
                    <w:jc w:val="cente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37</w:t>
                  </w:r>
                </w:p>
              </w:tc>
            </w:tr>
          </w:tbl>
          <w:p w14:paraId="20A508DE"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*Registry do not hold this data</w:t>
            </w:r>
          </w:p>
          <w:p w14:paraId="7652001E" w14:textId="77777777" w:rsidR="00A81D37" w:rsidRPr="00B67F40" w:rsidRDefault="00A81D37" w:rsidP="00A81D37">
            <w:pPr>
              <w:rPr>
                <w:rFonts w:ascii="Arial" w:eastAsia="Calibri" w:hAnsi="Arial" w:cs="Arial"/>
                <w:bCs/>
                <w:color w:val="1F4E79" w:themeColor="accent1" w:themeShade="80"/>
                <w:sz w:val="24"/>
                <w:szCs w:val="24"/>
              </w:rPr>
            </w:pPr>
            <w:r w:rsidRPr="00B67F40">
              <w:rPr>
                <w:rFonts w:ascii="Arial" w:eastAsia="Calibri" w:hAnsi="Arial" w:cs="Arial"/>
                <w:bCs/>
                <w:color w:val="1F4E79" w:themeColor="accent1" w:themeShade="80"/>
                <w:sz w:val="24"/>
                <w:szCs w:val="24"/>
              </w:rPr>
              <w:t>**Pre-covid year and most useful for direct comparison</w:t>
            </w:r>
          </w:p>
          <w:p w14:paraId="4DFFFD48" w14:textId="0D043C18" w:rsidR="00E5133B" w:rsidRPr="00B67F40" w:rsidRDefault="00E80CB2" w:rsidP="00B90323">
            <w:pPr>
              <w:rPr>
                <w:rFonts w:ascii="Arial" w:hAnsi="Arial" w:cs="Arial"/>
                <w:color w:val="1F4E79" w:themeColor="accent1" w:themeShade="80"/>
                <w:sz w:val="24"/>
                <w:szCs w:val="24"/>
              </w:rPr>
            </w:pPr>
            <w:r w:rsidRPr="00B67F40">
              <w:rPr>
                <w:rFonts w:ascii="Arial" w:hAnsi="Arial" w:cs="Arial"/>
                <w:color w:val="1F4E79" w:themeColor="accent1" w:themeShade="80"/>
                <w:sz w:val="24"/>
                <w:szCs w:val="24"/>
              </w:rPr>
              <w:t>*** Figures only provided by EPD and AS</w:t>
            </w:r>
          </w:p>
        </w:tc>
        <w:tc>
          <w:tcPr>
            <w:tcW w:w="2806" w:type="dxa"/>
            <w:tcBorders>
              <w:top w:val="nil"/>
              <w:left w:val="nil"/>
              <w:bottom w:val="nil"/>
              <w:right w:val="nil"/>
            </w:tcBorders>
          </w:tcPr>
          <w:p w14:paraId="70A48367" w14:textId="77777777" w:rsidR="00B90323" w:rsidRPr="00B67F40" w:rsidRDefault="00B90323" w:rsidP="00B90323">
            <w:pPr>
              <w:jc w:val="right"/>
              <w:rPr>
                <w:rFonts w:ascii="Arial" w:hAnsi="Arial" w:cs="Arial"/>
                <w:color w:val="1F4E79" w:themeColor="accent1" w:themeShade="80"/>
                <w:sz w:val="24"/>
                <w:szCs w:val="24"/>
              </w:rPr>
            </w:pPr>
          </w:p>
        </w:tc>
      </w:tr>
      <w:tr w:rsidR="00B90323" w14:paraId="534D575A" w14:textId="77777777" w:rsidTr="00DF32BA">
        <w:trPr>
          <w:trHeight w:val="241"/>
        </w:trPr>
        <w:tc>
          <w:tcPr>
            <w:tcW w:w="704" w:type="dxa"/>
            <w:tcBorders>
              <w:top w:val="nil"/>
              <w:left w:val="nil"/>
              <w:bottom w:val="nil"/>
              <w:right w:val="nil"/>
            </w:tcBorders>
          </w:tcPr>
          <w:p w14:paraId="4D2B923C" w14:textId="77777777" w:rsidR="00B90323" w:rsidRDefault="00B90323" w:rsidP="00B90323">
            <w:pPr>
              <w:rPr>
                <w:rFonts w:ascii="Arial" w:hAnsi="Arial" w:cs="Arial"/>
                <w:b/>
                <w:color w:val="1F4E79" w:themeColor="accent1" w:themeShade="80"/>
              </w:rPr>
            </w:pPr>
          </w:p>
        </w:tc>
        <w:tc>
          <w:tcPr>
            <w:tcW w:w="6946" w:type="dxa"/>
            <w:tcBorders>
              <w:top w:val="nil"/>
              <w:left w:val="nil"/>
              <w:bottom w:val="nil"/>
              <w:right w:val="nil"/>
            </w:tcBorders>
          </w:tcPr>
          <w:p w14:paraId="1B95DA72" w14:textId="77777777" w:rsidR="00B90323" w:rsidRPr="001A4007" w:rsidRDefault="00B90323" w:rsidP="00B90323">
            <w:pPr>
              <w:rPr>
                <w:rFonts w:ascii="Arial" w:hAnsi="Arial" w:cs="Arial"/>
              </w:rPr>
            </w:pPr>
          </w:p>
        </w:tc>
        <w:tc>
          <w:tcPr>
            <w:tcW w:w="2806" w:type="dxa"/>
            <w:tcBorders>
              <w:top w:val="nil"/>
              <w:left w:val="nil"/>
              <w:bottom w:val="nil"/>
              <w:right w:val="nil"/>
            </w:tcBorders>
          </w:tcPr>
          <w:p w14:paraId="5EEA084D" w14:textId="77777777" w:rsidR="00B90323" w:rsidRPr="003F50C0" w:rsidRDefault="00B90323" w:rsidP="00B90323">
            <w:pPr>
              <w:jc w:val="right"/>
              <w:rPr>
                <w:rFonts w:ascii="Arial" w:hAnsi="Arial" w:cs="Arial"/>
                <w:sz w:val="20"/>
                <w:szCs w:val="20"/>
              </w:rPr>
            </w:pPr>
          </w:p>
        </w:tc>
      </w:tr>
      <w:tr w:rsidR="00B90323" w14:paraId="3CD12F1A" w14:textId="77777777" w:rsidTr="00DF32BA">
        <w:trPr>
          <w:trHeight w:val="256"/>
        </w:trPr>
        <w:tc>
          <w:tcPr>
            <w:tcW w:w="704" w:type="dxa"/>
            <w:tcBorders>
              <w:top w:val="nil"/>
              <w:left w:val="nil"/>
              <w:bottom w:val="nil"/>
              <w:right w:val="nil"/>
            </w:tcBorders>
          </w:tcPr>
          <w:p w14:paraId="247C2429" w14:textId="373149A0" w:rsidR="00B90323" w:rsidRPr="00B67F40" w:rsidRDefault="00A81D37" w:rsidP="00B90323">
            <w:pPr>
              <w:rPr>
                <w:rFonts w:ascii="Arial" w:hAnsi="Arial" w:cs="Arial"/>
                <w:b/>
                <w:color w:val="1F4E79" w:themeColor="accent1" w:themeShade="80"/>
                <w:sz w:val="24"/>
                <w:szCs w:val="24"/>
              </w:rPr>
            </w:pPr>
            <w:r w:rsidRPr="00B67F40">
              <w:rPr>
                <w:rFonts w:ascii="Arial" w:hAnsi="Arial" w:cs="Arial"/>
                <w:b/>
                <w:color w:val="1F4E79" w:themeColor="accent1" w:themeShade="80"/>
                <w:sz w:val="24"/>
                <w:szCs w:val="24"/>
              </w:rPr>
              <w:t>10</w:t>
            </w:r>
            <w:r w:rsidR="00B90323" w:rsidRPr="00B67F40">
              <w:rPr>
                <w:rFonts w:ascii="Arial" w:hAnsi="Arial" w:cs="Arial"/>
                <w:b/>
                <w:color w:val="1F4E79" w:themeColor="accent1" w:themeShade="80"/>
                <w:sz w:val="24"/>
                <w:szCs w:val="24"/>
              </w:rPr>
              <w:t>.</w:t>
            </w:r>
          </w:p>
        </w:tc>
        <w:tc>
          <w:tcPr>
            <w:tcW w:w="6946" w:type="dxa"/>
            <w:tcBorders>
              <w:top w:val="nil"/>
              <w:left w:val="nil"/>
              <w:bottom w:val="nil"/>
              <w:right w:val="nil"/>
            </w:tcBorders>
          </w:tcPr>
          <w:p w14:paraId="49840758" w14:textId="77777777" w:rsidR="00B90323" w:rsidRPr="00B67F40" w:rsidRDefault="00B90323" w:rsidP="00B90323">
            <w:pPr>
              <w:rPr>
                <w:rFonts w:ascii="Arial" w:eastAsia="Times New Roman" w:hAnsi="Arial" w:cs="Arial"/>
                <w:b/>
                <w:color w:val="1F4E79" w:themeColor="accent1" w:themeShade="80"/>
                <w:sz w:val="24"/>
                <w:szCs w:val="24"/>
              </w:rPr>
            </w:pPr>
            <w:r w:rsidRPr="00B67F40">
              <w:rPr>
                <w:rFonts w:ascii="Arial" w:hAnsi="Arial" w:cs="Arial"/>
                <w:b/>
                <w:color w:val="1F4E79" w:themeColor="accent1" w:themeShade="80"/>
                <w:sz w:val="24"/>
                <w:szCs w:val="24"/>
              </w:rPr>
              <w:t>ADMISSION REVIEW</w:t>
            </w:r>
          </w:p>
        </w:tc>
        <w:tc>
          <w:tcPr>
            <w:tcW w:w="2806" w:type="dxa"/>
            <w:tcBorders>
              <w:top w:val="nil"/>
              <w:left w:val="nil"/>
              <w:bottom w:val="nil"/>
              <w:right w:val="nil"/>
            </w:tcBorders>
          </w:tcPr>
          <w:p w14:paraId="691A9BA0" w14:textId="77777777" w:rsidR="00B90323" w:rsidRPr="00B67F40" w:rsidRDefault="00B90323" w:rsidP="00B90323">
            <w:pPr>
              <w:rPr>
                <w:rFonts w:ascii="Arial" w:hAnsi="Arial" w:cs="Arial"/>
                <w:color w:val="1F4E79" w:themeColor="accent1" w:themeShade="80"/>
                <w:sz w:val="24"/>
                <w:szCs w:val="24"/>
              </w:rPr>
            </w:pPr>
          </w:p>
        </w:tc>
      </w:tr>
      <w:tr w:rsidR="00B90323" w14:paraId="204B8521" w14:textId="77777777" w:rsidTr="00DF32BA">
        <w:trPr>
          <w:trHeight w:val="512"/>
        </w:trPr>
        <w:tc>
          <w:tcPr>
            <w:tcW w:w="704" w:type="dxa"/>
            <w:tcBorders>
              <w:top w:val="nil"/>
              <w:left w:val="nil"/>
              <w:bottom w:val="nil"/>
              <w:right w:val="nil"/>
            </w:tcBorders>
          </w:tcPr>
          <w:p w14:paraId="4008DA74" w14:textId="678107D3" w:rsidR="00B90323" w:rsidRPr="00B67F40" w:rsidRDefault="00A81D37" w:rsidP="00B90323">
            <w:pPr>
              <w:rPr>
                <w:rFonts w:ascii="Arial" w:hAnsi="Arial" w:cs="Arial"/>
                <w:b/>
                <w:color w:val="1F4E79" w:themeColor="accent1" w:themeShade="80"/>
                <w:sz w:val="24"/>
                <w:szCs w:val="24"/>
              </w:rPr>
            </w:pPr>
            <w:r w:rsidRPr="00B67F40">
              <w:rPr>
                <w:rFonts w:ascii="Arial" w:hAnsi="Arial" w:cs="Arial"/>
                <w:b/>
                <w:color w:val="1F4E79" w:themeColor="accent1" w:themeShade="80"/>
                <w:sz w:val="24"/>
                <w:szCs w:val="24"/>
              </w:rPr>
              <w:t>10</w:t>
            </w:r>
            <w:r w:rsidR="00B90323" w:rsidRPr="00B67F40">
              <w:rPr>
                <w:rFonts w:ascii="Arial" w:hAnsi="Arial" w:cs="Arial"/>
                <w:b/>
                <w:color w:val="1F4E79" w:themeColor="accent1" w:themeShade="80"/>
                <w:sz w:val="24"/>
                <w:szCs w:val="24"/>
              </w:rPr>
              <w:t>.1</w:t>
            </w:r>
          </w:p>
        </w:tc>
        <w:tc>
          <w:tcPr>
            <w:tcW w:w="6946" w:type="dxa"/>
            <w:tcBorders>
              <w:top w:val="nil"/>
              <w:left w:val="nil"/>
              <w:bottom w:val="nil"/>
              <w:right w:val="nil"/>
            </w:tcBorders>
          </w:tcPr>
          <w:p w14:paraId="2EB15E19" w14:textId="5248E310" w:rsidR="00B90323" w:rsidRPr="00B67F40" w:rsidRDefault="00E5133B" w:rsidP="00B90323">
            <w:pPr>
              <w:rPr>
                <w:rFonts w:ascii="Arial" w:eastAsia="Times New Roman" w:hAnsi="Arial" w:cs="Arial"/>
                <w:color w:val="1F4E79" w:themeColor="accent1" w:themeShade="80"/>
                <w:sz w:val="24"/>
                <w:szCs w:val="24"/>
              </w:rPr>
            </w:pPr>
            <w:r w:rsidRPr="00B67F40">
              <w:rPr>
                <w:rFonts w:ascii="Arial" w:eastAsia="Times New Roman" w:hAnsi="Arial" w:cs="Arial"/>
                <w:color w:val="1F4E79" w:themeColor="accent1" w:themeShade="80"/>
                <w:sz w:val="24"/>
                <w:szCs w:val="24"/>
              </w:rPr>
              <w:t xml:space="preserve">There was nothing to note on the item. </w:t>
            </w:r>
            <w:r w:rsidR="004B74FD" w:rsidRPr="00B67F40">
              <w:rPr>
                <w:rFonts w:ascii="Arial" w:hAnsi="Arial" w:cs="Arial"/>
                <w:color w:val="1F4E79" w:themeColor="accent1" w:themeShade="80"/>
                <w:sz w:val="24"/>
                <w:szCs w:val="24"/>
              </w:rPr>
              <w:t xml:space="preserve"> </w:t>
            </w:r>
          </w:p>
        </w:tc>
        <w:tc>
          <w:tcPr>
            <w:tcW w:w="2806" w:type="dxa"/>
            <w:tcBorders>
              <w:top w:val="nil"/>
              <w:left w:val="nil"/>
              <w:bottom w:val="nil"/>
              <w:right w:val="nil"/>
            </w:tcBorders>
          </w:tcPr>
          <w:p w14:paraId="6573A345" w14:textId="0611D34C" w:rsidR="00B90323" w:rsidRPr="00B67F40" w:rsidRDefault="00B90323" w:rsidP="00B90323">
            <w:pPr>
              <w:jc w:val="right"/>
              <w:rPr>
                <w:rFonts w:ascii="Arial" w:hAnsi="Arial" w:cs="Arial"/>
                <w:color w:val="1F4E79" w:themeColor="accent1" w:themeShade="80"/>
                <w:sz w:val="24"/>
                <w:szCs w:val="24"/>
              </w:rPr>
            </w:pPr>
          </w:p>
        </w:tc>
      </w:tr>
      <w:tr w:rsidR="00B90323" w14:paraId="61A17ABD" w14:textId="77777777" w:rsidTr="00DF32BA">
        <w:trPr>
          <w:trHeight w:val="256"/>
        </w:trPr>
        <w:tc>
          <w:tcPr>
            <w:tcW w:w="704" w:type="dxa"/>
            <w:tcBorders>
              <w:top w:val="nil"/>
              <w:left w:val="nil"/>
              <w:bottom w:val="nil"/>
              <w:right w:val="nil"/>
            </w:tcBorders>
          </w:tcPr>
          <w:p w14:paraId="11839684" w14:textId="77777777" w:rsidR="00B90323" w:rsidRDefault="00B90323" w:rsidP="00B90323">
            <w:pPr>
              <w:rPr>
                <w:rFonts w:ascii="Arial" w:hAnsi="Arial" w:cs="Arial"/>
                <w:b/>
                <w:color w:val="1F4E79" w:themeColor="accent1" w:themeShade="80"/>
              </w:rPr>
            </w:pPr>
          </w:p>
        </w:tc>
        <w:tc>
          <w:tcPr>
            <w:tcW w:w="6946" w:type="dxa"/>
            <w:tcBorders>
              <w:top w:val="nil"/>
              <w:left w:val="nil"/>
              <w:bottom w:val="nil"/>
              <w:right w:val="nil"/>
            </w:tcBorders>
          </w:tcPr>
          <w:p w14:paraId="00321322" w14:textId="77777777" w:rsidR="00B90323" w:rsidRDefault="00B90323" w:rsidP="00B90323">
            <w:pPr>
              <w:rPr>
                <w:rFonts w:ascii="Arial" w:hAnsi="Arial" w:cs="Arial"/>
              </w:rPr>
            </w:pPr>
          </w:p>
        </w:tc>
        <w:tc>
          <w:tcPr>
            <w:tcW w:w="2806" w:type="dxa"/>
            <w:tcBorders>
              <w:top w:val="nil"/>
              <w:left w:val="nil"/>
              <w:bottom w:val="nil"/>
              <w:right w:val="nil"/>
            </w:tcBorders>
          </w:tcPr>
          <w:p w14:paraId="1C14B647" w14:textId="77777777" w:rsidR="00B90323" w:rsidRPr="003F50C0" w:rsidRDefault="00B90323" w:rsidP="00B90323">
            <w:pPr>
              <w:jc w:val="right"/>
              <w:rPr>
                <w:rFonts w:ascii="Arial" w:hAnsi="Arial" w:cs="Arial"/>
                <w:sz w:val="20"/>
                <w:szCs w:val="20"/>
              </w:rPr>
            </w:pPr>
          </w:p>
        </w:tc>
      </w:tr>
      <w:tr w:rsidR="00F73496" w14:paraId="60297C36" w14:textId="77777777" w:rsidTr="00DF32BA">
        <w:trPr>
          <w:trHeight w:val="256"/>
        </w:trPr>
        <w:tc>
          <w:tcPr>
            <w:tcW w:w="704" w:type="dxa"/>
            <w:tcBorders>
              <w:top w:val="nil"/>
              <w:left w:val="nil"/>
              <w:bottom w:val="nil"/>
              <w:right w:val="nil"/>
            </w:tcBorders>
          </w:tcPr>
          <w:p w14:paraId="71390F0F" w14:textId="20000B61" w:rsidR="00F73496" w:rsidRPr="00B67F40" w:rsidRDefault="00F73496" w:rsidP="00F73496">
            <w:pPr>
              <w:rPr>
                <w:rFonts w:ascii="Arial" w:hAnsi="Arial" w:cs="Arial"/>
                <w:b/>
                <w:color w:val="1F4E79" w:themeColor="accent1" w:themeShade="80"/>
                <w:sz w:val="24"/>
                <w:szCs w:val="24"/>
              </w:rPr>
            </w:pPr>
            <w:r w:rsidRPr="00B67F40">
              <w:rPr>
                <w:rFonts w:ascii="Arial" w:hAnsi="Arial" w:cs="Arial"/>
                <w:b/>
                <w:color w:val="1F4E79" w:themeColor="accent1" w:themeShade="80"/>
                <w:sz w:val="24"/>
                <w:szCs w:val="24"/>
              </w:rPr>
              <w:t>11.</w:t>
            </w:r>
          </w:p>
        </w:tc>
        <w:tc>
          <w:tcPr>
            <w:tcW w:w="6946" w:type="dxa"/>
            <w:tcBorders>
              <w:top w:val="nil"/>
              <w:left w:val="nil"/>
              <w:bottom w:val="nil"/>
              <w:right w:val="nil"/>
            </w:tcBorders>
          </w:tcPr>
          <w:p w14:paraId="3503A132" w14:textId="0EC47B56" w:rsidR="00F73496" w:rsidRPr="00B67F40" w:rsidRDefault="00F73496" w:rsidP="00F73496">
            <w:pPr>
              <w:rPr>
                <w:rFonts w:ascii="Arial" w:hAnsi="Arial" w:cs="Arial"/>
                <w:color w:val="1F4E79" w:themeColor="accent1" w:themeShade="80"/>
                <w:sz w:val="24"/>
                <w:szCs w:val="24"/>
              </w:rPr>
            </w:pPr>
            <w:r w:rsidRPr="00B67F40">
              <w:rPr>
                <w:rFonts w:ascii="Arial" w:hAnsi="Arial" w:cs="Arial"/>
                <w:b/>
                <w:bCs/>
                <w:color w:val="1F4E79" w:themeColor="accent1" w:themeShade="80"/>
                <w:sz w:val="24"/>
                <w:szCs w:val="24"/>
              </w:rPr>
              <w:t>ATTENDANCE MONITORING</w:t>
            </w:r>
          </w:p>
        </w:tc>
        <w:tc>
          <w:tcPr>
            <w:tcW w:w="2806" w:type="dxa"/>
            <w:tcBorders>
              <w:top w:val="nil"/>
              <w:left w:val="nil"/>
              <w:bottom w:val="nil"/>
              <w:right w:val="nil"/>
            </w:tcBorders>
          </w:tcPr>
          <w:p w14:paraId="674BC09F" w14:textId="77777777" w:rsidR="00F73496" w:rsidRPr="00B67F40" w:rsidRDefault="00F73496" w:rsidP="00F73496">
            <w:pPr>
              <w:jc w:val="right"/>
              <w:rPr>
                <w:rFonts w:ascii="Arial" w:hAnsi="Arial" w:cs="Arial"/>
                <w:color w:val="1F4E79" w:themeColor="accent1" w:themeShade="80"/>
                <w:sz w:val="24"/>
                <w:szCs w:val="24"/>
              </w:rPr>
            </w:pPr>
          </w:p>
        </w:tc>
      </w:tr>
      <w:tr w:rsidR="00F73496" w14:paraId="7F7AFE40" w14:textId="77777777" w:rsidTr="00DF32BA">
        <w:trPr>
          <w:trHeight w:val="512"/>
        </w:trPr>
        <w:tc>
          <w:tcPr>
            <w:tcW w:w="704" w:type="dxa"/>
            <w:tcBorders>
              <w:top w:val="nil"/>
              <w:left w:val="nil"/>
              <w:bottom w:val="nil"/>
              <w:right w:val="nil"/>
            </w:tcBorders>
          </w:tcPr>
          <w:p w14:paraId="23E60347" w14:textId="787B6C0E" w:rsidR="00F73496" w:rsidRPr="00B67F40" w:rsidRDefault="00F73496" w:rsidP="00F73496">
            <w:pPr>
              <w:rPr>
                <w:rFonts w:ascii="Arial" w:hAnsi="Arial" w:cs="Arial"/>
                <w:b/>
                <w:color w:val="1F4E79" w:themeColor="accent1" w:themeShade="80"/>
                <w:sz w:val="24"/>
                <w:szCs w:val="24"/>
              </w:rPr>
            </w:pPr>
            <w:r w:rsidRPr="00B67F40">
              <w:rPr>
                <w:rFonts w:ascii="Arial" w:hAnsi="Arial" w:cs="Arial"/>
                <w:b/>
                <w:color w:val="1F4E79" w:themeColor="accent1" w:themeShade="80"/>
                <w:sz w:val="24"/>
                <w:szCs w:val="24"/>
              </w:rPr>
              <w:t>11.1</w:t>
            </w:r>
          </w:p>
        </w:tc>
        <w:tc>
          <w:tcPr>
            <w:tcW w:w="6946" w:type="dxa"/>
            <w:tcBorders>
              <w:top w:val="nil"/>
              <w:left w:val="nil"/>
              <w:bottom w:val="nil"/>
              <w:right w:val="nil"/>
            </w:tcBorders>
          </w:tcPr>
          <w:p w14:paraId="6695C5B4" w14:textId="77777777" w:rsidR="00E5133B" w:rsidRPr="00B67F40" w:rsidRDefault="00E5133B" w:rsidP="00F73496">
            <w:pPr>
              <w:rPr>
                <w:rFonts w:ascii="Arial" w:hAnsi="Arial" w:cs="Arial"/>
                <w:color w:val="1F4E79" w:themeColor="accent1" w:themeShade="80"/>
                <w:sz w:val="24"/>
                <w:szCs w:val="24"/>
              </w:rPr>
            </w:pPr>
            <w:r w:rsidRPr="00B67F40">
              <w:rPr>
                <w:rFonts w:ascii="Arial" w:hAnsi="Arial" w:cs="Arial"/>
                <w:color w:val="1F4E79" w:themeColor="accent1" w:themeShade="80"/>
                <w:sz w:val="24"/>
                <w:szCs w:val="24"/>
              </w:rPr>
              <w:t xml:space="preserve">The Chair stated that the approach of living with covid meant that attendance monitoring was back to business as usual for 2022/23. </w:t>
            </w:r>
          </w:p>
          <w:p w14:paraId="7F62E980" w14:textId="77777777" w:rsidR="00E5133B" w:rsidRPr="00B67F40" w:rsidRDefault="00E5133B" w:rsidP="00F73496">
            <w:pPr>
              <w:rPr>
                <w:rFonts w:ascii="Arial" w:hAnsi="Arial" w:cs="Arial"/>
                <w:color w:val="1F4E79" w:themeColor="accent1" w:themeShade="80"/>
                <w:sz w:val="24"/>
                <w:szCs w:val="24"/>
              </w:rPr>
            </w:pPr>
          </w:p>
          <w:p w14:paraId="4A18723D" w14:textId="2873D821" w:rsidR="00F73496" w:rsidRPr="00B67F40" w:rsidRDefault="00E5133B" w:rsidP="00F73496">
            <w:pPr>
              <w:rPr>
                <w:rFonts w:ascii="Arial" w:hAnsi="Arial" w:cs="Arial"/>
                <w:color w:val="1F4E79" w:themeColor="accent1" w:themeShade="80"/>
                <w:sz w:val="24"/>
                <w:szCs w:val="24"/>
              </w:rPr>
            </w:pPr>
            <w:r w:rsidRPr="00B67F40">
              <w:rPr>
                <w:rFonts w:ascii="Arial" w:hAnsi="Arial" w:cs="Arial"/>
                <w:color w:val="1F4E79" w:themeColor="accent1" w:themeShade="80"/>
                <w:sz w:val="24"/>
                <w:szCs w:val="24"/>
              </w:rPr>
              <w:t xml:space="preserve">It was noted that during a review, some international students have very low attendance, and this must be monitored in the next academic year through the attendance monitoring procedure. It was noted that some schools use nuance in considering the attendance monitoring procedure as the regulations can be applied differently for home students, however in the event of an audit, the position adopted </w:t>
            </w:r>
            <w:r w:rsidR="005064D6" w:rsidRPr="00B67F40">
              <w:rPr>
                <w:rFonts w:ascii="Arial" w:hAnsi="Arial" w:cs="Arial"/>
                <w:color w:val="1F4E79" w:themeColor="accent1" w:themeShade="80"/>
                <w:sz w:val="24"/>
                <w:szCs w:val="24"/>
              </w:rPr>
              <w:t xml:space="preserve">in the school </w:t>
            </w:r>
            <w:r w:rsidRPr="00B67F40">
              <w:rPr>
                <w:rFonts w:ascii="Arial" w:hAnsi="Arial" w:cs="Arial"/>
                <w:color w:val="1F4E79" w:themeColor="accent1" w:themeShade="80"/>
                <w:sz w:val="24"/>
                <w:szCs w:val="24"/>
              </w:rPr>
              <w:t xml:space="preserve">must be supported. </w:t>
            </w:r>
          </w:p>
        </w:tc>
        <w:tc>
          <w:tcPr>
            <w:tcW w:w="2806" w:type="dxa"/>
            <w:tcBorders>
              <w:top w:val="nil"/>
              <w:left w:val="nil"/>
              <w:bottom w:val="nil"/>
              <w:right w:val="nil"/>
            </w:tcBorders>
          </w:tcPr>
          <w:p w14:paraId="26E377E3" w14:textId="77777777" w:rsidR="00F73496" w:rsidRPr="00B67F40" w:rsidRDefault="00F73496" w:rsidP="00F73496">
            <w:pPr>
              <w:jc w:val="right"/>
              <w:rPr>
                <w:rFonts w:ascii="Arial" w:hAnsi="Arial" w:cs="Arial"/>
                <w:color w:val="1F4E79" w:themeColor="accent1" w:themeShade="80"/>
                <w:sz w:val="24"/>
                <w:szCs w:val="24"/>
              </w:rPr>
            </w:pPr>
          </w:p>
        </w:tc>
      </w:tr>
      <w:tr w:rsidR="00F73496" w14:paraId="5AA6AE1C" w14:textId="77777777" w:rsidTr="00DF32BA">
        <w:trPr>
          <w:trHeight w:val="241"/>
        </w:trPr>
        <w:tc>
          <w:tcPr>
            <w:tcW w:w="704" w:type="dxa"/>
            <w:tcBorders>
              <w:top w:val="nil"/>
              <w:left w:val="nil"/>
              <w:bottom w:val="nil"/>
              <w:right w:val="nil"/>
            </w:tcBorders>
          </w:tcPr>
          <w:p w14:paraId="26373933"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2F9A297A" w14:textId="77777777" w:rsidR="00F73496" w:rsidRPr="00BD3917" w:rsidRDefault="00F73496" w:rsidP="00F73496">
            <w:pPr>
              <w:rPr>
                <w:rFonts w:ascii="Arial" w:hAnsi="Arial" w:cs="Arial"/>
              </w:rPr>
            </w:pPr>
          </w:p>
        </w:tc>
        <w:tc>
          <w:tcPr>
            <w:tcW w:w="2806" w:type="dxa"/>
            <w:tcBorders>
              <w:top w:val="nil"/>
              <w:left w:val="nil"/>
              <w:bottom w:val="nil"/>
              <w:right w:val="nil"/>
            </w:tcBorders>
          </w:tcPr>
          <w:p w14:paraId="4835FFE4" w14:textId="77777777" w:rsidR="00F73496" w:rsidRPr="003F50C0" w:rsidRDefault="00F73496" w:rsidP="00F73496">
            <w:pPr>
              <w:jc w:val="right"/>
              <w:rPr>
                <w:rFonts w:ascii="Arial" w:hAnsi="Arial" w:cs="Arial"/>
                <w:sz w:val="20"/>
                <w:szCs w:val="20"/>
              </w:rPr>
            </w:pPr>
          </w:p>
        </w:tc>
      </w:tr>
      <w:tr w:rsidR="00593B3F" w:rsidRPr="00593B3F" w14:paraId="6B8D5FF8" w14:textId="77777777" w:rsidTr="00DF32BA">
        <w:trPr>
          <w:trHeight w:val="256"/>
        </w:trPr>
        <w:tc>
          <w:tcPr>
            <w:tcW w:w="704" w:type="dxa"/>
            <w:tcBorders>
              <w:top w:val="nil"/>
              <w:left w:val="nil"/>
              <w:bottom w:val="nil"/>
              <w:right w:val="nil"/>
            </w:tcBorders>
          </w:tcPr>
          <w:p w14:paraId="0AEE8EB0" w14:textId="2ABAE164" w:rsidR="00F73496" w:rsidRPr="00593B3F" w:rsidRDefault="00F73496" w:rsidP="00F73496">
            <w:pPr>
              <w:rPr>
                <w:rFonts w:ascii="Arial" w:hAnsi="Arial" w:cs="Arial"/>
                <w:b/>
                <w:color w:val="1F4E79" w:themeColor="accent1" w:themeShade="80"/>
                <w:sz w:val="24"/>
                <w:szCs w:val="24"/>
              </w:rPr>
            </w:pPr>
            <w:r w:rsidRPr="00593B3F">
              <w:rPr>
                <w:rFonts w:ascii="Arial" w:hAnsi="Arial" w:cs="Arial"/>
                <w:b/>
                <w:color w:val="1F4E79" w:themeColor="accent1" w:themeShade="80"/>
                <w:sz w:val="24"/>
                <w:szCs w:val="24"/>
              </w:rPr>
              <w:t>12.</w:t>
            </w:r>
          </w:p>
        </w:tc>
        <w:tc>
          <w:tcPr>
            <w:tcW w:w="6946" w:type="dxa"/>
            <w:tcBorders>
              <w:top w:val="nil"/>
              <w:left w:val="nil"/>
              <w:bottom w:val="nil"/>
              <w:right w:val="nil"/>
            </w:tcBorders>
          </w:tcPr>
          <w:p w14:paraId="7CE4AA3C" w14:textId="3ABFD365" w:rsidR="00F73496" w:rsidRPr="00593B3F" w:rsidRDefault="00F73496" w:rsidP="00F73496">
            <w:pPr>
              <w:rPr>
                <w:rFonts w:ascii="Arial" w:hAnsi="Arial" w:cs="Arial"/>
                <w:b/>
                <w:color w:val="1F4E79" w:themeColor="accent1" w:themeShade="80"/>
                <w:sz w:val="24"/>
                <w:szCs w:val="24"/>
              </w:rPr>
            </w:pPr>
            <w:r w:rsidRPr="00593B3F">
              <w:rPr>
                <w:rFonts w:ascii="Arial" w:hAnsi="Arial" w:cs="Arial"/>
                <w:b/>
                <w:color w:val="1F4E79" w:themeColor="accent1" w:themeShade="80"/>
                <w:sz w:val="24"/>
                <w:szCs w:val="24"/>
              </w:rPr>
              <w:t>THEMATIC REVIEWS FOR 2022/23</w:t>
            </w:r>
          </w:p>
        </w:tc>
        <w:tc>
          <w:tcPr>
            <w:tcW w:w="2806" w:type="dxa"/>
            <w:tcBorders>
              <w:top w:val="nil"/>
              <w:left w:val="nil"/>
              <w:bottom w:val="nil"/>
              <w:right w:val="nil"/>
            </w:tcBorders>
          </w:tcPr>
          <w:p w14:paraId="6B63B7C1" w14:textId="77777777" w:rsidR="00F73496" w:rsidRPr="00593B3F" w:rsidRDefault="00F73496" w:rsidP="00F73496">
            <w:pPr>
              <w:jc w:val="right"/>
              <w:rPr>
                <w:rFonts w:ascii="Arial" w:hAnsi="Arial" w:cs="Arial"/>
                <w:color w:val="1F4E79" w:themeColor="accent1" w:themeShade="80"/>
                <w:sz w:val="24"/>
                <w:szCs w:val="24"/>
              </w:rPr>
            </w:pPr>
          </w:p>
        </w:tc>
      </w:tr>
      <w:tr w:rsidR="00593B3F" w:rsidRPr="00593B3F" w14:paraId="65F786C2" w14:textId="77777777" w:rsidTr="00DF32BA">
        <w:trPr>
          <w:trHeight w:val="512"/>
        </w:trPr>
        <w:tc>
          <w:tcPr>
            <w:tcW w:w="704" w:type="dxa"/>
            <w:tcBorders>
              <w:top w:val="nil"/>
              <w:left w:val="nil"/>
              <w:bottom w:val="nil"/>
              <w:right w:val="nil"/>
            </w:tcBorders>
          </w:tcPr>
          <w:p w14:paraId="29A7ACD9" w14:textId="35EC7931" w:rsidR="00F73496" w:rsidRPr="00593B3F" w:rsidRDefault="00F73496" w:rsidP="00F73496">
            <w:pPr>
              <w:rPr>
                <w:rFonts w:ascii="Arial" w:hAnsi="Arial" w:cs="Arial"/>
                <w:b/>
                <w:color w:val="1F4E79" w:themeColor="accent1" w:themeShade="80"/>
                <w:sz w:val="24"/>
                <w:szCs w:val="24"/>
              </w:rPr>
            </w:pPr>
            <w:r w:rsidRPr="00593B3F">
              <w:rPr>
                <w:rFonts w:ascii="Arial" w:hAnsi="Arial" w:cs="Arial"/>
                <w:b/>
                <w:color w:val="1F4E79" w:themeColor="accent1" w:themeShade="80"/>
                <w:sz w:val="24"/>
                <w:szCs w:val="24"/>
              </w:rPr>
              <w:t>12.1</w:t>
            </w:r>
          </w:p>
        </w:tc>
        <w:tc>
          <w:tcPr>
            <w:tcW w:w="6946" w:type="dxa"/>
            <w:tcBorders>
              <w:top w:val="nil"/>
              <w:left w:val="nil"/>
              <w:bottom w:val="nil"/>
              <w:right w:val="nil"/>
            </w:tcBorders>
          </w:tcPr>
          <w:p w14:paraId="1056D94E" w14:textId="03FCC9A6" w:rsidR="00F73496" w:rsidRPr="00593B3F" w:rsidRDefault="00C3542A" w:rsidP="00F73496">
            <w:pPr>
              <w:rPr>
                <w:rFonts w:ascii="Arial" w:hAnsi="Arial" w:cs="Arial"/>
                <w:color w:val="1F4E79" w:themeColor="accent1" w:themeShade="80"/>
                <w:sz w:val="24"/>
                <w:szCs w:val="24"/>
              </w:rPr>
            </w:pPr>
            <w:r w:rsidRPr="00593B3F">
              <w:rPr>
                <w:rFonts w:ascii="Arial" w:hAnsi="Arial" w:cs="Arial"/>
                <w:color w:val="1F4E79" w:themeColor="accent1" w:themeShade="80"/>
                <w:sz w:val="24"/>
                <w:szCs w:val="24"/>
              </w:rPr>
              <w:t>The Committee c</w:t>
            </w:r>
            <w:r w:rsidR="00F73496" w:rsidRPr="00593B3F">
              <w:rPr>
                <w:rFonts w:ascii="Arial" w:hAnsi="Arial" w:cs="Arial"/>
                <w:color w:val="1F4E79" w:themeColor="accent1" w:themeShade="80"/>
                <w:sz w:val="24"/>
                <w:szCs w:val="24"/>
              </w:rPr>
              <w:t>onfir</w:t>
            </w:r>
            <w:r w:rsidRPr="00593B3F">
              <w:rPr>
                <w:rFonts w:ascii="Arial" w:hAnsi="Arial" w:cs="Arial"/>
                <w:color w:val="1F4E79" w:themeColor="accent1" w:themeShade="80"/>
                <w:sz w:val="24"/>
                <w:szCs w:val="24"/>
              </w:rPr>
              <w:t>med the</w:t>
            </w:r>
            <w:r w:rsidR="00F73496" w:rsidRPr="00593B3F">
              <w:rPr>
                <w:rFonts w:ascii="Arial" w:hAnsi="Arial" w:cs="Arial"/>
                <w:color w:val="1F4E79" w:themeColor="accent1" w:themeShade="80"/>
                <w:sz w:val="24"/>
                <w:szCs w:val="24"/>
              </w:rPr>
              <w:t xml:space="preserve"> Thematic Review for 2022/23 </w:t>
            </w:r>
            <w:r w:rsidR="00DF32BA" w:rsidRPr="00593B3F">
              <w:rPr>
                <w:rFonts w:ascii="Arial" w:hAnsi="Arial" w:cs="Arial"/>
                <w:color w:val="1F4E79" w:themeColor="accent1" w:themeShade="80"/>
                <w:sz w:val="24"/>
                <w:szCs w:val="24"/>
              </w:rPr>
              <w:t>(List of previous topics for reference attached)</w:t>
            </w:r>
          </w:p>
          <w:p w14:paraId="463F8E48" w14:textId="77777777" w:rsidR="00F73496" w:rsidRPr="00593B3F" w:rsidRDefault="00E80CB2" w:rsidP="00F73496">
            <w:pPr>
              <w:rPr>
                <w:rFonts w:ascii="Arial" w:hAnsi="Arial" w:cs="Arial"/>
                <w:color w:val="1F4E79" w:themeColor="accent1" w:themeShade="80"/>
                <w:sz w:val="24"/>
                <w:szCs w:val="24"/>
              </w:rPr>
            </w:pPr>
            <w:r w:rsidRPr="00593B3F">
              <w:rPr>
                <w:rFonts w:ascii="Arial" w:hAnsi="Arial" w:cs="Arial"/>
                <w:color w:val="1F4E79" w:themeColor="accent1" w:themeShade="80"/>
                <w:sz w:val="24"/>
                <w:szCs w:val="24"/>
              </w:rPr>
              <w:t xml:space="preserve">    </w:t>
            </w:r>
            <w:r w:rsidR="00F73496" w:rsidRPr="00593B3F">
              <w:rPr>
                <w:rFonts w:ascii="Arial" w:hAnsi="Arial" w:cs="Arial"/>
                <w:color w:val="1F4E79" w:themeColor="accent1" w:themeShade="80"/>
                <w:sz w:val="24"/>
                <w:szCs w:val="24"/>
              </w:rPr>
              <w:t>“Academic engagement including attendance”</w:t>
            </w:r>
          </w:p>
          <w:p w14:paraId="7CA906EF" w14:textId="77777777" w:rsidR="00C3542A" w:rsidRPr="00593B3F" w:rsidRDefault="00C3542A" w:rsidP="00F73496">
            <w:pPr>
              <w:rPr>
                <w:rFonts w:ascii="Arial" w:hAnsi="Arial" w:cs="Arial"/>
                <w:color w:val="1F4E79" w:themeColor="accent1" w:themeShade="80"/>
                <w:sz w:val="24"/>
                <w:szCs w:val="24"/>
              </w:rPr>
            </w:pPr>
          </w:p>
          <w:p w14:paraId="209ECF22" w14:textId="640E82EC" w:rsidR="00C3542A" w:rsidRPr="00593B3F" w:rsidRDefault="00C3542A" w:rsidP="00F73496">
            <w:pPr>
              <w:rPr>
                <w:rFonts w:ascii="Arial" w:hAnsi="Arial" w:cs="Arial"/>
                <w:color w:val="1F4E79" w:themeColor="accent1" w:themeShade="80"/>
                <w:sz w:val="24"/>
                <w:szCs w:val="24"/>
              </w:rPr>
            </w:pPr>
            <w:r w:rsidRPr="00593B3F">
              <w:rPr>
                <w:rFonts w:ascii="Arial" w:hAnsi="Arial" w:cs="Arial"/>
                <w:color w:val="1F4E79" w:themeColor="accent1" w:themeShade="80"/>
                <w:sz w:val="24"/>
                <w:szCs w:val="24"/>
              </w:rPr>
              <w:lastRenderedPageBreak/>
              <w:t xml:space="preserve">It was noted that this would be linked to attendance monitoring. It was noted that employability would be a good thematic review and it was suggested that this be used in 2023/24 and link to the GPA. </w:t>
            </w:r>
          </w:p>
        </w:tc>
        <w:tc>
          <w:tcPr>
            <w:tcW w:w="2806" w:type="dxa"/>
            <w:tcBorders>
              <w:top w:val="nil"/>
              <w:left w:val="nil"/>
              <w:bottom w:val="nil"/>
              <w:right w:val="nil"/>
            </w:tcBorders>
          </w:tcPr>
          <w:p w14:paraId="418BB96C" w14:textId="77777777" w:rsidR="00593B3F" w:rsidRPr="00593B3F" w:rsidRDefault="00593B3F" w:rsidP="00593B3F">
            <w:pPr>
              <w:jc w:val="right"/>
              <w:rPr>
                <w:rFonts w:ascii="Arial" w:hAnsi="Arial" w:cs="Arial"/>
                <w:color w:val="1F4E79" w:themeColor="accent1" w:themeShade="80"/>
                <w:sz w:val="24"/>
                <w:szCs w:val="24"/>
              </w:rPr>
            </w:pPr>
            <w:r w:rsidRPr="00593B3F">
              <w:rPr>
                <w:rFonts w:ascii="Arial" w:hAnsi="Arial" w:cs="Arial"/>
                <w:color w:val="1F4E79" w:themeColor="accent1" w:themeShade="80"/>
                <w:sz w:val="24"/>
                <w:szCs w:val="24"/>
              </w:rPr>
              <w:lastRenderedPageBreak/>
              <w:t>UTLC_2022_05_18_P12.1</w:t>
            </w:r>
          </w:p>
          <w:p w14:paraId="077D1E14" w14:textId="6275D96F" w:rsidR="00F73496" w:rsidRPr="00593B3F" w:rsidRDefault="00F73496" w:rsidP="00F73496">
            <w:pPr>
              <w:jc w:val="right"/>
              <w:rPr>
                <w:rFonts w:ascii="Arial" w:hAnsi="Arial" w:cs="Arial"/>
                <w:color w:val="1F4E79" w:themeColor="accent1" w:themeShade="80"/>
                <w:sz w:val="24"/>
                <w:szCs w:val="24"/>
              </w:rPr>
            </w:pPr>
          </w:p>
        </w:tc>
      </w:tr>
      <w:tr w:rsidR="00F73496" w14:paraId="0DE28B42" w14:textId="77777777" w:rsidTr="00DF32BA">
        <w:trPr>
          <w:trHeight w:val="256"/>
        </w:trPr>
        <w:tc>
          <w:tcPr>
            <w:tcW w:w="704" w:type="dxa"/>
            <w:tcBorders>
              <w:top w:val="nil"/>
              <w:left w:val="nil"/>
              <w:bottom w:val="nil"/>
              <w:right w:val="nil"/>
            </w:tcBorders>
          </w:tcPr>
          <w:p w14:paraId="63F9A1BB"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7ABE7A4B" w14:textId="77777777" w:rsidR="00F73496" w:rsidRDefault="00F73496" w:rsidP="00F73496">
            <w:pPr>
              <w:rPr>
                <w:rFonts w:ascii="Arial" w:hAnsi="Arial" w:cs="Arial"/>
                <w:b/>
                <w:color w:val="000000" w:themeColor="text1"/>
              </w:rPr>
            </w:pPr>
          </w:p>
        </w:tc>
        <w:tc>
          <w:tcPr>
            <w:tcW w:w="2806" w:type="dxa"/>
            <w:tcBorders>
              <w:top w:val="nil"/>
              <w:left w:val="nil"/>
              <w:bottom w:val="nil"/>
              <w:right w:val="nil"/>
            </w:tcBorders>
          </w:tcPr>
          <w:p w14:paraId="786676A5" w14:textId="77777777" w:rsidR="00F73496" w:rsidRPr="00E10574" w:rsidRDefault="00F73496" w:rsidP="00F73496">
            <w:pPr>
              <w:jc w:val="right"/>
              <w:rPr>
                <w:rFonts w:ascii="Arial" w:hAnsi="Arial" w:cs="Arial"/>
                <w:color w:val="FF0000"/>
                <w:sz w:val="20"/>
                <w:szCs w:val="20"/>
              </w:rPr>
            </w:pPr>
          </w:p>
        </w:tc>
      </w:tr>
      <w:tr w:rsidR="00F73496" w14:paraId="3FE504A4" w14:textId="77777777" w:rsidTr="00DF32BA">
        <w:trPr>
          <w:trHeight w:val="256"/>
        </w:trPr>
        <w:tc>
          <w:tcPr>
            <w:tcW w:w="704" w:type="dxa"/>
            <w:tcBorders>
              <w:top w:val="nil"/>
              <w:left w:val="nil"/>
              <w:bottom w:val="nil"/>
              <w:right w:val="nil"/>
            </w:tcBorders>
          </w:tcPr>
          <w:p w14:paraId="47052B6F" w14:textId="25288316" w:rsidR="00F73496" w:rsidRPr="00593B3F" w:rsidRDefault="00F73496" w:rsidP="00F73496">
            <w:pPr>
              <w:rPr>
                <w:rFonts w:ascii="Arial" w:hAnsi="Arial" w:cs="Arial"/>
                <w:b/>
                <w:color w:val="1F4E79" w:themeColor="accent1" w:themeShade="80"/>
                <w:sz w:val="24"/>
                <w:szCs w:val="24"/>
              </w:rPr>
            </w:pPr>
            <w:r w:rsidRPr="00593B3F">
              <w:rPr>
                <w:rFonts w:ascii="Arial" w:hAnsi="Arial" w:cs="Arial"/>
                <w:b/>
                <w:color w:val="1F4E79" w:themeColor="accent1" w:themeShade="80"/>
                <w:sz w:val="24"/>
                <w:szCs w:val="24"/>
              </w:rPr>
              <w:t>13.</w:t>
            </w:r>
          </w:p>
        </w:tc>
        <w:tc>
          <w:tcPr>
            <w:tcW w:w="6946" w:type="dxa"/>
            <w:tcBorders>
              <w:top w:val="nil"/>
              <w:left w:val="nil"/>
              <w:bottom w:val="nil"/>
              <w:right w:val="nil"/>
            </w:tcBorders>
          </w:tcPr>
          <w:p w14:paraId="2C600D9A" w14:textId="0867BBAE" w:rsidR="00F73496" w:rsidRPr="00593B3F" w:rsidRDefault="00F73496" w:rsidP="00F73496">
            <w:pPr>
              <w:rPr>
                <w:rFonts w:ascii="Arial" w:hAnsi="Arial" w:cs="Arial"/>
                <w:b/>
                <w:bCs/>
                <w:color w:val="1F4E79" w:themeColor="accent1" w:themeShade="80"/>
                <w:sz w:val="24"/>
                <w:szCs w:val="24"/>
              </w:rPr>
            </w:pPr>
            <w:r w:rsidRPr="00593B3F">
              <w:rPr>
                <w:rFonts w:ascii="Arial" w:hAnsi="Arial" w:cs="Arial"/>
                <w:b/>
                <w:bCs/>
                <w:color w:val="1F4E79" w:themeColor="accent1" w:themeShade="80"/>
                <w:sz w:val="24"/>
                <w:szCs w:val="24"/>
              </w:rPr>
              <w:t>QUALITY APPRAISALS FOR 2022/23</w:t>
            </w:r>
          </w:p>
        </w:tc>
        <w:tc>
          <w:tcPr>
            <w:tcW w:w="2806" w:type="dxa"/>
            <w:tcBorders>
              <w:top w:val="nil"/>
              <w:left w:val="nil"/>
              <w:bottom w:val="nil"/>
              <w:right w:val="nil"/>
            </w:tcBorders>
          </w:tcPr>
          <w:p w14:paraId="7BF6A356" w14:textId="7DE8BBC8" w:rsidR="00F73496" w:rsidRPr="00593B3F" w:rsidRDefault="00F73496" w:rsidP="00F73496">
            <w:pPr>
              <w:jc w:val="right"/>
              <w:rPr>
                <w:rFonts w:ascii="Arial" w:hAnsi="Arial" w:cs="Arial"/>
                <w:color w:val="1F4E79" w:themeColor="accent1" w:themeShade="80"/>
                <w:sz w:val="24"/>
                <w:szCs w:val="24"/>
              </w:rPr>
            </w:pPr>
          </w:p>
        </w:tc>
      </w:tr>
      <w:tr w:rsidR="00F73496" w14:paraId="266DF364" w14:textId="77777777" w:rsidTr="00DF32BA">
        <w:trPr>
          <w:trHeight w:val="256"/>
        </w:trPr>
        <w:tc>
          <w:tcPr>
            <w:tcW w:w="704" w:type="dxa"/>
            <w:tcBorders>
              <w:top w:val="nil"/>
              <w:left w:val="nil"/>
              <w:bottom w:val="nil"/>
              <w:right w:val="nil"/>
            </w:tcBorders>
          </w:tcPr>
          <w:p w14:paraId="4FEFDEB8" w14:textId="25874627" w:rsidR="00F73496" w:rsidRPr="00593B3F" w:rsidRDefault="00F73496" w:rsidP="00F73496">
            <w:pPr>
              <w:rPr>
                <w:rFonts w:ascii="Arial" w:hAnsi="Arial" w:cs="Arial"/>
                <w:b/>
                <w:color w:val="1F4E79" w:themeColor="accent1" w:themeShade="80"/>
                <w:sz w:val="24"/>
                <w:szCs w:val="24"/>
              </w:rPr>
            </w:pPr>
            <w:r w:rsidRPr="00593B3F">
              <w:rPr>
                <w:rFonts w:ascii="Arial" w:hAnsi="Arial" w:cs="Arial"/>
                <w:b/>
                <w:color w:val="1F4E79" w:themeColor="accent1" w:themeShade="80"/>
                <w:sz w:val="24"/>
                <w:szCs w:val="24"/>
              </w:rPr>
              <w:t>13.1</w:t>
            </w:r>
          </w:p>
        </w:tc>
        <w:tc>
          <w:tcPr>
            <w:tcW w:w="6946" w:type="dxa"/>
            <w:tcBorders>
              <w:top w:val="nil"/>
              <w:left w:val="nil"/>
              <w:bottom w:val="nil"/>
              <w:right w:val="nil"/>
            </w:tcBorders>
          </w:tcPr>
          <w:p w14:paraId="40401C33" w14:textId="46F96576" w:rsidR="00F73496" w:rsidRPr="00593B3F" w:rsidRDefault="00593B3F" w:rsidP="00F73496">
            <w:pPr>
              <w:rPr>
                <w:rFonts w:ascii="Arial" w:hAnsi="Arial" w:cs="Arial"/>
                <w:color w:val="1F4E79" w:themeColor="accent1" w:themeShade="80"/>
                <w:sz w:val="24"/>
                <w:szCs w:val="24"/>
              </w:rPr>
            </w:pPr>
            <w:r w:rsidRPr="00593B3F">
              <w:rPr>
                <w:rFonts w:ascii="Arial" w:hAnsi="Arial" w:cs="Arial"/>
                <w:color w:val="1F4E79" w:themeColor="accent1" w:themeShade="80"/>
                <w:sz w:val="24"/>
                <w:szCs w:val="24"/>
              </w:rPr>
              <w:t>There was nothing to note on the item.</w:t>
            </w:r>
          </w:p>
        </w:tc>
        <w:tc>
          <w:tcPr>
            <w:tcW w:w="2806" w:type="dxa"/>
            <w:tcBorders>
              <w:top w:val="nil"/>
              <w:left w:val="nil"/>
              <w:bottom w:val="nil"/>
              <w:right w:val="nil"/>
            </w:tcBorders>
          </w:tcPr>
          <w:p w14:paraId="7686A4D2" w14:textId="77777777" w:rsidR="00F73496" w:rsidRPr="00593B3F" w:rsidRDefault="00F73496" w:rsidP="00F73496">
            <w:pPr>
              <w:jc w:val="right"/>
              <w:rPr>
                <w:rFonts w:ascii="Arial" w:hAnsi="Arial" w:cs="Arial"/>
                <w:color w:val="1F4E79" w:themeColor="accent1" w:themeShade="80"/>
                <w:sz w:val="24"/>
                <w:szCs w:val="24"/>
              </w:rPr>
            </w:pPr>
          </w:p>
        </w:tc>
      </w:tr>
      <w:tr w:rsidR="00F73496" w14:paraId="39795EF4" w14:textId="77777777" w:rsidTr="00DF32BA">
        <w:trPr>
          <w:trHeight w:val="241"/>
        </w:trPr>
        <w:tc>
          <w:tcPr>
            <w:tcW w:w="704" w:type="dxa"/>
            <w:tcBorders>
              <w:top w:val="nil"/>
              <w:left w:val="nil"/>
              <w:bottom w:val="nil"/>
              <w:right w:val="nil"/>
            </w:tcBorders>
          </w:tcPr>
          <w:p w14:paraId="631F1AC5"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3B52D06F" w14:textId="77777777" w:rsidR="00F73496" w:rsidRPr="00963C1B" w:rsidRDefault="00F73496" w:rsidP="00F73496">
            <w:pPr>
              <w:rPr>
                <w:rFonts w:ascii="Arial" w:hAnsi="Arial" w:cs="Arial"/>
                <w:color w:val="000000" w:themeColor="text1"/>
              </w:rPr>
            </w:pPr>
          </w:p>
        </w:tc>
        <w:tc>
          <w:tcPr>
            <w:tcW w:w="2806" w:type="dxa"/>
            <w:tcBorders>
              <w:top w:val="nil"/>
              <w:left w:val="nil"/>
              <w:bottom w:val="nil"/>
              <w:right w:val="nil"/>
            </w:tcBorders>
          </w:tcPr>
          <w:p w14:paraId="7312F622" w14:textId="77777777" w:rsidR="00F73496" w:rsidRPr="00E10574" w:rsidRDefault="00F73496" w:rsidP="00F73496">
            <w:pPr>
              <w:jc w:val="right"/>
              <w:rPr>
                <w:rFonts w:ascii="Arial" w:hAnsi="Arial" w:cs="Arial"/>
                <w:color w:val="FF0000"/>
                <w:sz w:val="20"/>
                <w:szCs w:val="20"/>
              </w:rPr>
            </w:pPr>
          </w:p>
        </w:tc>
      </w:tr>
      <w:tr w:rsidR="00F73496" w14:paraId="601E39E9" w14:textId="77777777" w:rsidTr="00DF32BA">
        <w:trPr>
          <w:trHeight w:val="256"/>
        </w:trPr>
        <w:tc>
          <w:tcPr>
            <w:tcW w:w="704" w:type="dxa"/>
            <w:tcBorders>
              <w:top w:val="nil"/>
              <w:left w:val="nil"/>
              <w:bottom w:val="nil"/>
              <w:right w:val="nil"/>
            </w:tcBorders>
          </w:tcPr>
          <w:p w14:paraId="7D01DA00" w14:textId="3233E192" w:rsidR="00F73496" w:rsidRPr="00593B3F" w:rsidRDefault="00F73496" w:rsidP="00F73496">
            <w:pPr>
              <w:rPr>
                <w:rFonts w:ascii="Arial" w:hAnsi="Arial" w:cs="Arial"/>
                <w:b/>
                <w:color w:val="1F4E79" w:themeColor="accent1" w:themeShade="80"/>
                <w:sz w:val="24"/>
                <w:szCs w:val="24"/>
              </w:rPr>
            </w:pPr>
            <w:r w:rsidRPr="00593B3F">
              <w:rPr>
                <w:rFonts w:ascii="Arial" w:hAnsi="Arial" w:cs="Arial"/>
                <w:b/>
                <w:color w:val="1F4E79" w:themeColor="accent1" w:themeShade="80"/>
                <w:sz w:val="24"/>
                <w:szCs w:val="24"/>
              </w:rPr>
              <w:t>14.</w:t>
            </w:r>
          </w:p>
        </w:tc>
        <w:tc>
          <w:tcPr>
            <w:tcW w:w="6946" w:type="dxa"/>
            <w:tcBorders>
              <w:top w:val="nil"/>
              <w:left w:val="nil"/>
              <w:bottom w:val="nil"/>
              <w:right w:val="nil"/>
            </w:tcBorders>
          </w:tcPr>
          <w:p w14:paraId="4B153FC4" w14:textId="5EB93FA4" w:rsidR="00F73496" w:rsidRPr="00593B3F" w:rsidRDefault="00F73496" w:rsidP="00F73496">
            <w:pPr>
              <w:rPr>
                <w:rFonts w:ascii="Arial" w:hAnsi="Arial" w:cs="Arial"/>
                <w:color w:val="1F4E79" w:themeColor="accent1" w:themeShade="80"/>
                <w:sz w:val="24"/>
                <w:szCs w:val="24"/>
              </w:rPr>
            </w:pPr>
            <w:r w:rsidRPr="00593B3F">
              <w:rPr>
                <w:rFonts w:ascii="Arial" w:hAnsi="Arial" w:cs="Arial"/>
                <w:b/>
                <w:bCs/>
                <w:color w:val="1F4E79" w:themeColor="accent1" w:themeShade="80"/>
                <w:sz w:val="24"/>
                <w:szCs w:val="24"/>
              </w:rPr>
              <w:t>ANNUAL EVALUATION</w:t>
            </w:r>
          </w:p>
        </w:tc>
        <w:tc>
          <w:tcPr>
            <w:tcW w:w="2806" w:type="dxa"/>
            <w:tcBorders>
              <w:top w:val="nil"/>
              <w:left w:val="nil"/>
              <w:bottom w:val="nil"/>
              <w:right w:val="nil"/>
            </w:tcBorders>
          </w:tcPr>
          <w:p w14:paraId="093C0F28" w14:textId="77777777" w:rsidR="00F73496" w:rsidRPr="00593B3F" w:rsidRDefault="00F73496" w:rsidP="00F73496">
            <w:pPr>
              <w:jc w:val="right"/>
              <w:rPr>
                <w:rFonts w:ascii="Arial" w:hAnsi="Arial" w:cs="Arial"/>
                <w:color w:val="1F4E79" w:themeColor="accent1" w:themeShade="80"/>
                <w:sz w:val="24"/>
                <w:szCs w:val="24"/>
              </w:rPr>
            </w:pPr>
          </w:p>
        </w:tc>
      </w:tr>
      <w:tr w:rsidR="00F73496" w14:paraId="082D5B8D" w14:textId="77777777" w:rsidTr="00DF32BA">
        <w:trPr>
          <w:trHeight w:val="256"/>
        </w:trPr>
        <w:tc>
          <w:tcPr>
            <w:tcW w:w="704" w:type="dxa"/>
            <w:tcBorders>
              <w:top w:val="nil"/>
              <w:left w:val="nil"/>
              <w:bottom w:val="nil"/>
              <w:right w:val="nil"/>
            </w:tcBorders>
          </w:tcPr>
          <w:p w14:paraId="436C177B" w14:textId="2F1545DF" w:rsidR="00F73496" w:rsidRPr="00A044DB" w:rsidRDefault="00F73496" w:rsidP="00F73496">
            <w:pPr>
              <w:rPr>
                <w:rFonts w:ascii="Arial" w:hAnsi="Arial" w:cs="Arial"/>
                <w:b/>
                <w:color w:val="1F4E79" w:themeColor="accent1" w:themeShade="80"/>
                <w:sz w:val="24"/>
                <w:szCs w:val="24"/>
              </w:rPr>
            </w:pPr>
            <w:r w:rsidRPr="00A044DB">
              <w:rPr>
                <w:rFonts w:ascii="Arial" w:hAnsi="Arial" w:cs="Arial"/>
                <w:b/>
                <w:color w:val="1F4E79" w:themeColor="accent1" w:themeShade="80"/>
                <w:sz w:val="24"/>
                <w:szCs w:val="24"/>
              </w:rPr>
              <w:t>14.1</w:t>
            </w:r>
          </w:p>
        </w:tc>
        <w:tc>
          <w:tcPr>
            <w:tcW w:w="6946" w:type="dxa"/>
            <w:tcBorders>
              <w:top w:val="nil"/>
              <w:left w:val="nil"/>
              <w:bottom w:val="nil"/>
              <w:right w:val="nil"/>
            </w:tcBorders>
          </w:tcPr>
          <w:p w14:paraId="34B08552" w14:textId="77777777" w:rsidR="00F73496" w:rsidRPr="00A044DB" w:rsidRDefault="00F73496" w:rsidP="00F73496">
            <w:pPr>
              <w:rPr>
                <w:rFonts w:ascii="Arial" w:hAnsi="Arial" w:cs="Arial"/>
                <w:color w:val="1F4E79" w:themeColor="accent1" w:themeShade="80"/>
                <w:sz w:val="24"/>
                <w:szCs w:val="24"/>
              </w:rPr>
            </w:pPr>
            <w:bookmarkStart w:id="0" w:name="_Hlk102556549"/>
            <w:r w:rsidRPr="00A044DB">
              <w:rPr>
                <w:rFonts w:ascii="Arial" w:hAnsi="Arial" w:cs="Arial"/>
                <w:color w:val="1F4E79" w:themeColor="accent1" w:themeShade="80"/>
                <w:sz w:val="24"/>
                <w:szCs w:val="24"/>
              </w:rPr>
              <w:t xml:space="preserve">List of Chairs/Secretaries/UTLC Reps for the following year </w:t>
            </w:r>
            <w:bookmarkEnd w:id="0"/>
          </w:p>
          <w:p w14:paraId="24CDB249" w14:textId="26B48947" w:rsidR="00593B3F" w:rsidRPr="00A044DB" w:rsidRDefault="00593B3F" w:rsidP="00F73496">
            <w:pPr>
              <w:rPr>
                <w:rFonts w:ascii="Arial" w:hAnsi="Arial" w:cs="Arial"/>
                <w:color w:val="1F4E79" w:themeColor="accent1" w:themeShade="80"/>
                <w:sz w:val="24"/>
                <w:szCs w:val="24"/>
              </w:rPr>
            </w:pPr>
            <w:r w:rsidRPr="00A044DB">
              <w:rPr>
                <w:rFonts w:ascii="Arial" w:hAnsi="Arial" w:cs="Arial"/>
                <w:color w:val="1F4E79" w:themeColor="accent1" w:themeShade="80"/>
                <w:sz w:val="24"/>
                <w:szCs w:val="24"/>
              </w:rPr>
              <w:t>It was noted a representative for SAH was needed.</w:t>
            </w:r>
          </w:p>
        </w:tc>
        <w:tc>
          <w:tcPr>
            <w:tcW w:w="2806" w:type="dxa"/>
            <w:tcBorders>
              <w:top w:val="nil"/>
              <w:left w:val="nil"/>
              <w:bottom w:val="nil"/>
              <w:right w:val="nil"/>
            </w:tcBorders>
          </w:tcPr>
          <w:p w14:paraId="4FFE169B" w14:textId="77777777" w:rsidR="00F73496" w:rsidRPr="00A044DB" w:rsidRDefault="00DE22B0" w:rsidP="00F73496">
            <w:pPr>
              <w:jc w:val="right"/>
              <w:rPr>
                <w:rFonts w:ascii="Arial" w:hAnsi="Arial" w:cs="Arial"/>
                <w:color w:val="1F4E79" w:themeColor="accent1" w:themeShade="80"/>
                <w:sz w:val="24"/>
                <w:szCs w:val="24"/>
              </w:rPr>
            </w:pPr>
            <w:r w:rsidRPr="00A044DB">
              <w:rPr>
                <w:rFonts w:ascii="Arial" w:hAnsi="Arial" w:cs="Arial"/>
                <w:color w:val="1F4E79" w:themeColor="accent1" w:themeShade="80"/>
                <w:sz w:val="24"/>
                <w:szCs w:val="24"/>
              </w:rPr>
              <w:t>UTLC_2022_05_18_P</w:t>
            </w:r>
            <w:r w:rsidR="00DF32BA" w:rsidRPr="00A044DB">
              <w:rPr>
                <w:rFonts w:ascii="Arial" w:hAnsi="Arial" w:cs="Arial"/>
                <w:color w:val="1F4E79" w:themeColor="accent1" w:themeShade="80"/>
                <w:sz w:val="24"/>
                <w:szCs w:val="24"/>
              </w:rPr>
              <w:t>14.1</w:t>
            </w:r>
          </w:p>
          <w:p w14:paraId="023D63E1" w14:textId="6C7E1D34" w:rsidR="00593B3F" w:rsidRPr="00A044DB" w:rsidRDefault="00593B3F" w:rsidP="00F73496">
            <w:pPr>
              <w:jc w:val="right"/>
              <w:rPr>
                <w:rFonts w:ascii="Arial" w:hAnsi="Arial" w:cs="Arial"/>
                <w:color w:val="1F4E79" w:themeColor="accent1" w:themeShade="80"/>
                <w:sz w:val="24"/>
                <w:szCs w:val="24"/>
              </w:rPr>
            </w:pPr>
            <w:r w:rsidRPr="00A044DB">
              <w:rPr>
                <w:rFonts w:ascii="Arial" w:hAnsi="Arial" w:cs="Arial"/>
                <w:color w:val="1F4E79" w:themeColor="accent1" w:themeShade="80"/>
                <w:sz w:val="24"/>
                <w:szCs w:val="24"/>
              </w:rPr>
              <w:t>Ruth Stoker</w:t>
            </w:r>
          </w:p>
        </w:tc>
      </w:tr>
      <w:tr w:rsidR="00F73496" w14:paraId="06D5AFF2" w14:textId="77777777" w:rsidTr="00DF32BA">
        <w:trPr>
          <w:trHeight w:val="768"/>
        </w:trPr>
        <w:tc>
          <w:tcPr>
            <w:tcW w:w="704" w:type="dxa"/>
            <w:tcBorders>
              <w:top w:val="nil"/>
              <w:left w:val="nil"/>
              <w:bottom w:val="nil"/>
              <w:right w:val="nil"/>
            </w:tcBorders>
          </w:tcPr>
          <w:p w14:paraId="30A76F78" w14:textId="2AB57FA5" w:rsidR="00F73496" w:rsidRPr="000C4E30" w:rsidRDefault="00F73496" w:rsidP="00F73496">
            <w:pPr>
              <w:rPr>
                <w:rFonts w:ascii="Arial" w:hAnsi="Arial" w:cs="Arial"/>
                <w:b/>
                <w:color w:val="1F4E79" w:themeColor="accent1" w:themeShade="80"/>
                <w:sz w:val="24"/>
                <w:szCs w:val="24"/>
              </w:rPr>
            </w:pPr>
            <w:r w:rsidRPr="000C4E30">
              <w:rPr>
                <w:rFonts w:ascii="Arial" w:hAnsi="Arial" w:cs="Arial"/>
                <w:b/>
                <w:color w:val="1F4E79" w:themeColor="accent1" w:themeShade="80"/>
                <w:sz w:val="24"/>
                <w:szCs w:val="24"/>
              </w:rPr>
              <w:t>14.2</w:t>
            </w:r>
          </w:p>
        </w:tc>
        <w:tc>
          <w:tcPr>
            <w:tcW w:w="6946" w:type="dxa"/>
            <w:tcBorders>
              <w:top w:val="nil"/>
              <w:left w:val="nil"/>
              <w:bottom w:val="nil"/>
              <w:right w:val="nil"/>
            </w:tcBorders>
          </w:tcPr>
          <w:p w14:paraId="21D4D3DC" w14:textId="77777777" w:rsidR="00F73496" w:rsidRPr="00A044DB" w:rsidRDefault="00F73496" w:rsidP="00F73496">
            <w:pPr>
              <w:rPr>
                <w:rFonts w:ascii="Arial" w:hAnsi="Arial" w:cs="Arial"/>
                <w:color w:val="1F4E79" w:themeColor="accent1" w:themeShade="80"/>
                <w:sz w:val="24"/>
                <w:szCs w:val="24"/>
              </w:rPr>
            </w:pPr>
            <w:r w:rsidRPr="00A044DB">
              <w:rPr>
                <w:rFonts w:ascii="Arial" w:hAnsi="Arial" w:cs="Arial"/>
                <w:color w:val="1F4E79" w:themeColor="accent1" w:themeShade="80"/>
                <w:sz w:val="24"/>
                <w:szCs w:val="24"/>
              </w:rPr>
              <w:t>UTLC Question for Annual Evaluation</w:t>
            </w:r>
          </w:p>
          <w:p w14:paraId="226C1B79" w14:textId="4A44A384" w:rsidR="00F73496" w:rsidRPr="00A044DB" w:rsidRDefault="00D02376" w:rsidP="00F73496">
            <w:pPr>
              <w:rPr>
                <w:rFonts w:ascii="Arial" w:hAnsi="Arial" w:cs="Arial"/>
                <w:color w:val="1F4E79" w:themeColor="accent1" w:themeShade="80"/>
                <w:sz w:val="24"/>
                <w:szCs w:val="24"/>
              </w:rPr>
            </w:pPr>
            <w:r w:rsidRPr="00A044DB">
              <w:rPr>
                <w:rFonts w:ascii="Arial" w:eastAsia="Times New Roman" w:hAnsi="Arial" w:cs="Arial"/>
                <w:color w:val="1F4E79" w:themeColor="accent1" w:themeShade="80"/>
                <w:sz w:val="24"/>
                <w:szCs w:val="24"/>
              </w:rPr>
              <w:t xml:space="preserve">It was agreed the topic should be </w:t>
            </w:r>
            <w:r w:rsidR="00A044DB" w:rsidRPr="00A044DB">
              <w:rPr>
                <w:rFonts w:ascii="Arial" w:eastAsia="Times New Roman" w:hAnsi="Arial" w:cs="Arial"/>
                <w:color w:val="1F4E79" w:themeColor="accent1" w:themeShade="80"/>
                <w:sz w:val="24"/>
                <w:szCs w:val="24"/>
              </w:rPr>
              <w:t xml:space="preserve">around </w:t>
            </w:r>
            <w:r w:rsidRPr="00A044DB">
              <w:rPr>
                <w:rFonts w:ascii="Arial" w:eastAsia="Times New Roman" w:hAnsi="Arial" w:cs="Arial"/>
                <w:color w:val="1F4E79" w:themeColor="accent1" w:themeShade="80"/>
                <w:sz w:val="24"/>
                <w:szCs w:val="24"/>
              </w:rPr>
              <w:t xml:space="preserve">graduate outcomes </w:t>
            </w:r>
            <w:r w:rsidR="00A044DB" w:rsidRPr="00A044DB">
              <w:rPr>
                <w:rFonts w:ascii="Arial" w:eastAsia="Times New Roman" w:hAnsi="Arial" w:cs="Arial"/>
                <w:color w:val="1F4E79" w:themeColor="accent1" w:themeShade="80"/>
                <w:sz w:val="24"/>
                <w:szCs w:val="24"/>
              </w:rPr>
              <w:t xml:space="preserve">and the specifics could be confirmed outside of the meeting. The Assistant Registrar (Quality Assurance) confirmed that the deadline for the annual evaluation will not change but a larger window will be provided. </w:t>
            </w:r>
          </w:p>
        </w:tc>
        <w:tc>
          <w:tcPr>
            <w:tcW w:w="2806" w:type="dxa"/>
            <w:tcBorders>
              <w:top w:val="nil"/>
              <w:left w:val="nil"/>
              <w:bottom w:val="nil"/>
              <w:right w:val="nil"/>
            </w:tcBorders>
          </w:tcPr>
          <w:p w14:paraId="2866B25F" w14:textId="47976589" w:rsidR="00F73496" w:rsidRPr="00A044DB" w:rsidRDefault="00F73496" w:rsidP="00F73496">
            <w:pPr>
              <w:jc w:val="right"/>
              <w:rPr>
                <w:rFonts w:ascii="Arial" w:hAnsi="Arial" w:cs="Arial"/>
                <w:color w:val="1F4E79" w:themeColor="accent1" w:themeShade="80"/>
                <w:sz w:val="24"/>
                <w:szCs w:val="24"/>
              </w:rPr>
            </w:pPr>
          </w:p>
        </w:tc>
      </w:tr>
      <w:tr w:rsidR="00F73496" w14:paraId="7F0394C5" w14:textId="77777777" w:rsidTr="00DF32BA">
        <w:trPr>
          <w:trHeight w:val="256"/>
        </w:trPr>
        <w:tc>
          <w:tcPr>
            <w:tcW w:w="704" w:type="dxa"/>
            <w:tcBorders>
              <w:top w:val="nil"/>
              <w:left w:val="nil"/>
              <w:bottom w:val="nil"/>
              <w:right w:val="nil"/>
            </w:tcBorders>
          </w:tcPr>
          <w:p w14:paraId="4F322E41" w14:textId="77777777" w:rsidR="00F73496" w:rsidRPr="000C4E30" w:rsidRDefault="00F73496" w:rsidP="00F73496">
            <w:pPr>
              <w:rPr>
                <w:rFonts w:ascii="Arial" w:hAnsi="Arial" w:cs="Arial"/>
                <w:b/>
                <w:color w:val="1F4E79" w:themeColor="accent1" w:themeShade="80"/>
                <w:sz w:val="24"/>
                <w:szCs w:val="24"/>
              </w:rPr>
            </w:pPr>
          </w:p>
        </w:tc>
        <w:tc>
          <w:tcPr>
            <w:tcW w:w="6946" w:type="dxa"/>
            <w:tcBorders>
              <w:top w:val="nil"/>
              <w:left w:val="nil"/>
              <w:bottom w:val="nil"/>
              <w:right w:val="nil"/>
            </w:tcBorders>
          </w:tcPr>
          <w:p w14:paraId="5325413D" w14:textId="77777777" w:rsidR="00F73496" w:rsidRPr="005130EC" w:rsidRDefault="00F73496" w:rsidP="00F73496">
            <w:pPr>
              <w:rPr>
                <w:rFonts w:ascii="Arial" w:hAnsi="Arial" w:cs="Arial"/>
                <w:color w:val="000000" w:themeColor="text1"/>
              </w:rPr>
            </w:pPr>
          </w:p>
        </w:tc>
        <w:tc>
          <w:tcPr>
            <w:tcW w:w="2806" w:type="dxa"/>
            <w:tcBorders>
              <w:top w:val="nil"/>
              <w:left w:val="nil"/>
              <w:bottom w:val="nil"/>
              <w:right w:val="nil"/>
            </w:tcBorders>
          </w:tcPr>
          <w:p w14:paraId="5744A1E4" w14:textId="77777777" w:rsidR="00F73496" w:rsidRPr="003F50C0" w:rsidRDefault="00F73496" w:rsidP="00F73496">
            <w:pPr>
              <w:jc w:val="right"/>
              <w:rPr>
                <w:rFonts w:ascii="Arial" w:hAnsi="Arial" w:cs="Arial"/>
                <w:sz w:val="20"/>
                <w:szCs w:val="20"/>
              </w:rPr>
            </w:pPr>
          </w:p>
        </w:tc>
      </w:tr>
      <w:tr w:rsidR="00F73496" w14:paraId="6F68ABCF" w14:textId="77777777" w:rsidTr="00DF32BA">
        <w:trPr>
          <w:trHeight w:val="256"/>
        </w:trPr>
        <w:tc>
          <w:tcPr>
            <w:tcW w:w="704" w:type="dxa"/>
            <w:tcBorders>
              <w:top w:val="nil"/>
              <w:left w:val="nil"/>
              <w:bottom w:val="nil"/>
              <w:right w:val="nil"/>
            </w:tcBorders>
          </w:tcPr>
          <w:p w14:paraId="70C6C5D8" w14:textId="46506BCA" w:rsidR="00F73496" w:rsidRPr="000C4E30" w:rsidRDefault="00F73496" w:rsidP="00F73496">
            <w:pPr>
              <w:rPr>
                <w:rFonts w:ascii="Arial" w:hAnsi="Arial" w:cs="Arial"/>
                <w:b/>
                <w:color w:val="1F4E79" w:themeColor="accent1" w:themeShade="80"/>
                <w:sz w:val="24"/>
                <w:szCs w:val="24"/>
              </w:rPr>
            </w:pPr>
            <w:r w:rsidRPr="000C4E30">
              <w:rPr>
                <w:rFonts w:ascii="Arial" w:hAnsi="Arial" w:cs="Arial"/>
                <w:b/>
                <w:color w:val="1F4E79" w:themeColor="accent1" w:themeShade="80"/>
                <w:sz w:val="24"/>
                <w:szCs w:val="24"/>
              </w:rPr>
              <w:t>15.</w:t>
            </w:r>
          </w:p>
        </w:tc>
        <w:tc>
          <w:tcPr>
            <w:tcW w:w="6946" w:type="dxa"/>
            <w:tcBorders>
              <w:top w:val="nil"/>
              <w:left w:val="nil"/>
              <w:bottom w:val="nil"/>
              <w:right w:val="nil"/>
            </w:tcBorders>
          </w:tcPr>
          <w:p w14:paraId="14A0D90C" w14:textId="39E5ED69" w:rsidR="00F73496" w:rsidRPr="000C4E30" w:rsidRDefault="00F73496" w:rsidP="00F73496">
            <w:pPr>
              <w:rPr>
                <w:rFonts w:ascii="Arial" w:hAnsi="Arial" w:cs="Arial"/>
                <w:b/>
                <w:bCs/>
                <w:color w:val="1F4E79" w:themeColor="accent1" w:themeShade="80"/>
                <w:sz w:val="24"/>
                <w:szCs w:val="24"/>
              </w:rPr>
            </w:pPr>
            <w:r w:rsidRPr="000C4E30">
              <w:rPr>
                <w:rFonts w:ascii="Arial" w:hAnsi="Arial" w:cs="Arial"/>
                <w:b/>
                <w:bCs/>
                <w:color w:val="1F4E79" w:themeColor="accent1" w:themeShade="80"/>
                <w:sz w:val="24"/>
                <w:szCs w:val="24"/>
              </w:rPr>
              <w:t>PLSP’s AND ADJUSTMENTS TO ASSESSMENTS</w:t>
            </w:r>
          </w:p>
        </w:tc>
        <w:tc>
          <w:tcPr>
            <w:tcW w:w="2806" w:type="dxa"/>
            <w:tcBorders>
              <w:top w:val="nil"/>
              <w:left w:val="nil"/>
              <w:bottom w:val="nil"/>
              <w:right w:val="nil"/>
            </w:tcBorders>
          </w:tcPr>
          <w:p w14:paraId="79B35249" w14:textId="77777777" w:rsidR="00F73496" w:rsidRPr="000C4E30" w:rsidRDefault="00F73496" w:rsidP="00F73496">
            <w:pPr>
              <w:jc w:val="right"/>
              <w:rPr>
                <w:rFonts w:ascii="Arial" w:hAnsi="Arial" w:cs="Arial"/>
                <w:color w:val="1F4E79" w:themeColor="accent1" w:themeShade="80"/>
                <w:sz w:val="24"/>
                <w:szCs w:val="24"/>
              </w:rPr>
            </w:pPr>
          </w:p>
        </w:tc>
      </w:tr>
      <w:tr w:rsidR="00F73496" w14:paraId="7FA2E109" w14:textId="77777777" w:rsidTr="00DF32BA">
        <w:trPr>
          <w:trHeight w:val="753"/>
        </w:trPr>
        <w:tc>
          <w:tcPr>
            <w:tcW w:w="704" w:type="dxa"/>
            <w:tcBorders>
              <w:top w:val="nil"/>
              <w:left w:val="nil"/>
              <w:bottom w:val="nil"/>
              <w:right w:val="nil"/>
            </w:tcBorders>
          </w:tcPr>
          <w:p w14:paraId="2EBC71FD" w14:textId="7B69E8E3" w:rsidR="00F73496" w:rsidRPr="000C4E30" w:rsidRDefault="00F73496" w:rsidP="00F73496">
            <w:pPr>
              <w:rPr>
                <w:rFonts w:ascii="Arial" w:hAnsi="Arial" w:cs="Arial"/>
                <w:b/>
                <w:color w:val="1F4E79" w:themeColor="accent1" w:themeShade="80"/>
                <w:sz w:val="24"/>
                <w:szCs w:val="24"/>
              </w:rPr>
            </w:pPr>
            <w:r w:rsidRPr="000C4E30">
              <w:rPr>
                <w:rFonts w:ascii="Arial" w:hAnsi="Arial" w:cs="Arial"/>
                <w:b/>
                <w:color w:val="1F4E79" w:themeColor="accent1" w:themeShade="80"/>
                <w:sz w:val="24"/>
                <w:szCs w:val="24"/>
              </w:rPr>
              <w:t>15.1</w:t>
            </w:r>
          </w:p>
        </w:tc>
        <w:tc>
          <w:tcPr>
            <w:tcW w:w="6946" w:type="dxa"/>
            <w:tcBorders>
              <w:top w:val="nil"/>
              <w:left w:val="nil"/>
              <w:bottom w:val="nil"/>
              <w:right w:val="nil"/>
            </w:tcBorders>
          </w:tcPr>
          <w:p w14:paraId="0E6DC630" w14:textId="1E43122D" w:rsidR="00F73496" w:rsidRPr="000C4E30" w:rsidRDefault="00F73496" w:rsidP="00F73496">
            <w:pPr>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T</w:t>
            </w:r>
            <w:r w:rsidR="00F06947" w:rsidRPr="000C4E30">
              <w:rPr>
                <w:rFonts w:ascii="Arial" w:hAnsi="Arial" w:cs="Arial"/>
                <w:color w:val="1F4E79" w:themeColor="accent1" w:themeShade="80"/>
                <w:sz w:val="24"/>
                <w:szCs w:val="24"/>
              </w:rPr>
              <w:t xml:space="preserve">he Committee approved </w:t>
            </w:r>
            <w:r w:rsidRPr="000C4E30">
              <w:rPr>
                <w:rFonts w:ascii="Arial" w:hAnsi="Arial" w:cs="Arial"/>
                <w:color w:val="1F4E79" w:themeColor="accent1" w:themeShade="80"/>
                <w:sz w:val="24"/>
                <w:szCs w:val="24"/>
              </w:rPr>
              <w:t>the attached discussion paper</w:t>
            </w:r>
            <w:r w:rsidR="00F06947" w:rsidRPr="000C4E30">
              <w:rPr>
                <w:rFonts w:ascii="Arial" w:hAnsi="Arial" w:cs="Arial"/>
                <w:color w:val="1F4E79" w:themeColor="accent1" w:themeShade="80"/>
                <w:sz w:val="24"/>
                <w:szCs w:val="24"/>
              </w:rPr>
              <w:t>’s short-term approach</w:t>
            </w:r>
            <w:r w:rsidRPr="000C4E30">
              <w:rPr>
                <w:rFonts w:ascii="Arial" w:hAnsi="Arial" w:cs="Arial"/>
                <w:color w:val="1F4E79" w:themeColor="accent1" w:themeShade="80"/>
                <w:sz w:val="24"/>
                <w:szCs w:val="24"/>
              </w:rPr>
              <w:t xml:space="preserve"> on how Schools should manage PLSP’s and Adjustments to Assessments. </w:t>
            </w:r>
            <w:r w:rsidR="00F06947" w:rsidRPr="000C4E30">
              <w:rPr>
                <w:rFonts w:ascii="Arial" w:hAnsi="Arial" w:cs="Arial"/>
                <w:color w:val="1F4E79" w:themeColor="accent1" w:themeShade="80"/>
                <w:sz w:val="24"/>
                <w:szCs w:val="24"/>
              </w:rPr>
              <w:t>It was noted that a longer-term approach would be needed to look at inclusivity and PSRB requirements. The Chair noted the short-term approach sits well with differential attainment.</w:t>
            </w:r>
          </w:p>
        </w:tc>
        <w:tc>
          <w:tcPr>
            <w:tcW w:w="2806" w:type="dxa"/>
            <w:tcBorders>
              <w:top w:val="nil"/>
              <w:left w:val="nil"/>
              <w:bottom w:val="nil"/>
              <w:right w:val="nil"/>
            </w:tcBorders>
          </w:tcPr>
          <w:p w14:paraId="7CC94AD2" w14:textId="77777777" w:rsidR="00FC3512" w:rsidRPr="000C4E30" w:rsidRDefault="00FC3512" w:rsidP="00FC3512">
            <w:pPr>
              <w:jc w:val="right"/>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UTLC_2022_05_18_P15.1</w:t>
            </w:r>
          </w:p>
          <w:p w14:paraId="2458D9A9" w14:textId="63400C0B" w:rsidR="00F73496" w:rsidRPr="000C4E30" w:rsidRDefault="00F73496" w:rsidP="00DF32BA">
            <w:pPr>
              <w:jc w:val="right"/>
              <w:rPr>
                <w:rFonts w:ascii="Arial" w:hAnsi="Arial" w:cs="Arial"/>
                <w:color w:val="1F4E79" w:themeColor="accent1" w:themeShade="80"/>
                <w:sz w:val="24"/>
                <w:szCs w:val="24"/>
              </w:rPr>
            </w:pPr>
          </w:p>
        </w:tc>
      </w:tr>
      <w:tr w:rsidR="00F73496" w14:paraId="12529239" w14:textId="77777777" w:rsidTr="00DF32BA">
        <w:trPr>
          <w:trHeight w:val="256"/>
        </w:trPr>
        <w:tc>
          <w:tcPr>
            <w:tcW w:w="704" w:type="dxa"/>
            <w:tcBorders>
              <w:top w:val="nil"/>
              <w:left w:val="nil"/>
              <w:bottom w:val="nil"/>
              <w:right w:val="nil"/>
            </w:tcBorders>
          </w:tcPr>
          <w:p w14:paraId="7ED57288" w14:textId="77777777" w:rsidR="00F73496" w:rsidRPr="000C4E30" w:rsidRDefault="00F73496" w:rsidP="00F73496">
            <w:pPr>
              <w:rPr>
                <w:rFonts w:ascii="Arial" w:hAnsi="Arial" w:cs="Arial"/>
                <w:b/>
                <w:color w:val="1F4E79" w:themeColor="accent1" w:themeShade="80"/>
                <w:sz w:val="24"/>
                <w:szCs w:val="24"/>
              </w:rPr>
            </w:pPr>
          </w:p>
        </w:tc>
        <w:tc>
          <w:tcPr>
            <w:tcW w:w="6946" w:type="dxa"/>
            <w:tcBorders>
              <w:top w:val="nil"/>
              <w:left w:val="nil"/>
              <w:bottom w:val="nil"/>
              <w:right w:val="nil"/>
            </w:tcBorders>
          </w:tcPr>
          <w:p w14:paraId="5D97B86D" w14:textId="77777777" w:rsidR="00F73496" w:rsidRPr="005130EC" w:rsidRDefault="00F73496" w:rsidP="00F73496">
            <w:pPr>
              <w:rPr>
                <w:rFonts w:ascii="Arial" w:hAnsi="Arial" w:cs="Arial"/>
                <w:color w:val="000000" w:themeColor="text1"/>
              </w:rPr>
            </w:pPr>
          </w:p>
        </w:tc>
        <w:tc>
          <w:tcPr>
            <w:tcW w:w="2806" w:type="dxa"/>
            <w:tcBorders>
              <w:top w:val="nil"/>
              <w:left w:val="nil"/>
              <w:bottom w:val="nil"/>
              <w:right w:val="nil"/>
            </w:tcBorders>
          </w:tcPr>
          <w:p w14:paraId="208B1287" w14:textId="77777777" w:rsidR="00F73496" w:rsidRPr="003F50C0" w:rsidRDefault="00F73496" w:rsidP="00F73496">
            <w:pPr>
              <w:jc w:val="right"/>
              <w:rPr>
                <w:rFonts w:ascii="Arial" w:hAnsi="Arial" w:cs="Arial"/>
                <w:sz w:val="20"/>
                <w:szCs w:val="20"/>
              </w:rPr>
            </w:pPr>
          </w:p>
        </w:tc>
      </w:tr>
      <w:tr w:rsidR="00F73496" w14:paraId="0F48B11E" w14:textId="77777777" w:rsidTr="00DF32BA">
        <w:trPr>
          <w:trHeight w:val="512"/>
        </w:trPr>
        <w:tc>
          <w:tcPr>
            <w:tcW w:w="704" w:type="dxa"/>
            <w:tcBorders>
              <w:top w:val="nil"/>
              <w:left w:val="nil"/>
              <w:bottom w:val="nil"/>
              <w:right w:val="nil"/>
            </w:tcBorders>
          </w:tcPr>
          <w:p w14:paraId="0E57DA64" w14:textId="347D44DE" w:rsidR="00F73496" w:rsidRPr="000C4E30" w:rsidRDefault="00F73496" w:rsidP="00F73496">
            <w:pPr>
              <w:rPr>
                <w:rFonts w:ascii="Arial" w:hAnsi="Arial" w:cs="Arial"/>
                <w:b/>
                <w:color w:val="1F4E79" w:themeColor="accent1" w:themeShade="80"/>
                <w:sz w:val="24"/>
                <w:szCs w:val="24"/>
              </w:rPr>
            </w:pPr>
            <w:r w:rsidRPr="000C4E30">
              <w:rPr>
                <w:rFonts w:ascii="Arial" w:hAnsi="Arial" w:cs="Arial"/>
                <w:b/>
                <w:color w:val="1F4E79" w:themeColor="accent1" w:themeShade="80"/>
                <w:sz w:val="24"/>
                <w:szCs w:val="24"/>
              </w:rPr>
              <w:t>16.</w:t>
            </w:r>
          </w:p>
        </w:tc>
        <w:tc>
          <w:tcPr>
            <w:tcW w:w="6946" w:type="dxa"/>
            <w:tcBorders>
              <w:top w:val="nil"/>
              <w:left w:val="nil"/>
              <w:bottom w:val="nil"/>
              <w:right w:val="nil"/>
            </w:tcBorders>
          </w:tcPr>
          <w:p w14:paraId="31DEC19B" w14:textId="77777777" w:rsidR="00F73496" w:rsidRPr="000C4E30" w:rsidRDefault="00F73496" w:rsidP="00F73496">
            <w:pPr>
              <w:rPr>
                <w:rFonts w:ascii="Arial" w:hAnsi="Arial" w:cs="Arial"/>
                <w:b/>
                <w:bCs/>
                <w:color w:val="1F4E79" w:themeColor="accent1" w:themeShade="80"/>
                <w:sz w:val="24"/>
                <w:szCs w:val="24"/>
              </w:rPr>
            </w:pPr>
            <w:r w:rsidRPr="000C4E30">
              <w:rPr>
                <w:rFonts w:ascii="Arial" w:hAnsi="Arial" w:cs="Arial"/>
                <w:b/>
                <w:bCs/>
                <w:color w:val="1F4E79" w:themeColor="accent1" w:themeShade="80"/>
                <w:sz w:val="24"/>
                <w:szCs w:val="24"/>
              </w:rPr>
              <w:t>REGULATIONS AND HANDBOOKS 2022-2023</w:t>
            </w:r>
          </w:p>
          <w:p w14:paraId="5B61DF68" w14:textId="15F6B583" w:rsidR="00F73496" w:rsidRPr="000C4E30" w:rsidRDefault="00F73496" w:rsidP="00F73496">
            <w:pPr>
              <w:rPr>
                <w:rFonts w:ascii="Arial" w:hAnsi="Arial" w:cs="Arial"/>
                <w:b/>
                <w:bCs/>
                <w:color w:val="1F4E79" w:themeColor="accent1" w:themeShade="80"/>
                <w:sz w:val="24"/>
                <w:szCs w:val="24"/>
              </w:rPr>
            </w:pPr>
            <w:r w:rsidRPr="000C4E30">
              <w:rPr>
                <w:rFonts w:ascii="Arial" w:hAnsi="Arial" w:cs="Arial"/>
                <w:color w:val="1F4E79" w:themeColor="accent1" w:themeShade="80"/>
                <w:sz w:val="24"/>
                <w:szCs w:val="24"/>
              </w:rPr>
              <w:t>To consider and approve updates to:</w:t>
            </w:r>
          </w:p>
        </w:tc>
        <w:tc>
          <w:tcPr>
            <w:tcW w:w="2806" w:type="dxa"/>
            <w:tcBorders>
              <w:top w:val="nil"/>
              <w:left w:val="nil"/>
              <w:bottom w:val="nil"/>
              <w:right w:val="nil"/>
            </w:tcBorders>
          </w:tcPr>
          <w:p w14:paraId="54C471A5" w14:textId="77777777" w:rsidR="00F73496" w:rsidRPr="000C4E30" w:rsidRDefault="00F73496" w:rsidP="00F73496">
            <w:pPr>
              <w:jc w:val="right"/>
              <w:rPr>
                <w:rFonts w:ascii="Arial" w:hAnsi="Arial" w:cs="Arial"/>
                <w:color w:val="1F4E79" w:themeColor="accent1" w:themeShade="80"/>
                <w:sz w:val="24"/>
                <w:szCs w:val="24"/>
              </w:rPr>
            </w:pPr>
          </w:p>
        </w:tc>
      </w:tr>
      <w:tr w:rsidR="00F73496" w14:paraId="59BDEA73" w14:textId="77777777" w:rsidTr="00DF32BA">
        <w:trPr>
          <w:trHeight w:val="256"/>
        </w:trPr>
        <w:tc>
          <w:tcPr>
            <w:tcW w:w="704" w:type="dxa"/>
            <w:tcBorders>
              <w:top w:val="nil"/>
              <w:left w:val="nil"/>
              <w:bottom w:val="nil"/>
              <w:right w:val="nil"/>
            </w:tcBorders>
          </w:tcPr>
          <w:p w14:paraId="49488D4F" w14:textId="7F458DCF" w:rsidR="00F73496" w:rsidRPr="000C4E30" w:rsidRDefault="00F73496" w:rsidP="00F73496">
            <w:pPr>
              <w:rPr>
                <w:rFonts w:ascii="Arial" w:hAnsi="Arial" w:cs="Arial"/>
                <w:b/>
                <w:color w:val="1F4E79" w:themeColor="accent1" w:themeShade="80"/>
                <w:sz w:val="24"/>
                <w:szCs w:val="24"/>
              </w:rPr>
            </w:pPr>
            <w:r w:rsidRPr="000C4E30">
              <w:rPr>
                <w:rFonts w:ascii="Arial" w:hAnsi="Arial" w:cs="Arial"/>
                <w:b/>
                <w:color w:val="1F4E79" w:themeColor="accent1" w:themeShade="80"/>
                <w:sz w:val="24"/>
                <w:szCs w:val="24"/>
              </w:rPr>
              <w:t>16.1</w:t>
            </w:r>
          </w:p>
        </w:tc>
        <w:tc>
          <w:tcPr>
            <w:tcW w:w="6946" w:type="dxa"/>
            <w:tcBorders>
              <w:top w:val="nil"/>
              <w:left w:val="nil"/>
              <w:bottom w:val="nil"/>
              <w:right w:val="nil"/>
            </w:tcBorders>
          </w:tcPr>
          <w:p w14:paraId="17BCA2AC" w14:textId="77777777" w:rsidR="00F73496" w:rsidRPr="000C4E30" w:rsidRDefault="005064D6" w:rsidP="00F73496">
            <w:pPr>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 xml:space="preserve">The Committee were advised the </w:t>
            </w:r>
            <w:r w:rsidR="00F73496" w:rsidRPr="000C4E30">
              <w:rPr>
                <w:rFonts w:ascii="Arial" w:hAnsi="Arial" w:cs="Arial"/>
                <w:color w:val="1F4E79" w:themeColor="accent1" w:themeShade="80"/>
                <w:sz w:val="24"/>
                <w:szCs w:val="24"/>
              </w:rPr>
              <w:t>Course and Module Handbook Templates</w:t>
            </w:r>
            <w:r w:rsidRPr="000C4E30">
              <w:rPr>
                <w:rFonts w:ascii="Arial" w:hAnsi="Arial" w:cs="Arial"/>
                <w:color w:val="1F4E79" w:themeColor="accent1" w:themeShade="80"/>
                <w:sz w:val="24"/>
                <w:szCs w:val="24"/>
              </w:rPr>
              <w:t xml:space="preserve"> had no changes to note except their attention was drawn the proposed change to limit submission of work to within working hours. The Director of Registry advised that IT support is available for students only when submitting during working hours and the submission date, when changed by an extension request or EC claim, should have a deadline that matches that of the initial submission. This was approved by members. Registry will ensure the automated emails on extension approval are amended to clarify the submission time. </w:t>
            </w:r>
          </w:p>
          <w:p w14:paraId="7F61F2FA" w14:textId="42815DA8" w:rsidR="005064D6" w:rsidRPr="000C4E30" w:rsidRDefault="005064D6" w:rsidP="00F73496">
            <w:pPr>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 xml:space="preserve">The Assistant Registrar (Quality Assurance) noted the amendments required to URLs and confirmed that an amendment will be made to define the PLSP acronym. </w:t>
            </w:r>
          </w:p>
        </w:tc>
        <w:tc>
          <w:tcPr>
            <w:tcW w:w="2806" w:type="dxa"/>
            <w:tcBorders>
              <w:top w:val="nil"/>
              <w:left w:val="nil"/>
              <w:bottom w:val="nil"/>
              <w:right w:val="nil"/>
            </w:tcBorders>
          </w:tcPr>
          <w:p w14:paraId="44AADA85" w14:textId="77777777" w:rsidR="000C4E30" w:rsidRPr="000C4E30" w:rsidRDefault="000C4E30" w:rsidP="000C4E30">
            <w:pPr>
              <w:jc w:val="right"/>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UTLC_2022_05_18_P16.1</w:t>
            </w:r>
          </w:p>
          <w:p w14:paraId="1D7D5A98" w14:textId="1B1FDF7A" w:rsidR="00F73496" w:rsidRPr="000C4E30" w:rsidRDefault="005064D6" w:rsidP="00F73496">
            <w:pPr>
              <w:jc w:val="right"/>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Registry (taught provision)</w:t>
            </w:r>
          </w:p>
          <w:p w14:paraId="25A3E1F3" w14:textId="77777777" w:rsidR="005064D6" w:rsidRPr="000C4E30" w:rsidRDefault="005064D6" w:rsidP="00F73496">
            <w:pPr>
              <w:jc w:val="right"/>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Assistant Registrar (Quality Assurance)</w:t>
            </w:r>
          </w:p>
          <w:p w14:paraId="6BB35482" w14:textId="0572F168" w:rsidR="000C4E30" w:rsidRPr="000C4E30" w:rsidRDefault="000C4E30" w:rsidP="00F73496">
            <w:pPr>
              <w:jc w:val="right"/>
              <w:rPr>
                <w:rFonts w:ascii="Arial" w:hAnsi="Arial" w:cs="Arial"/>
                <w:color w:val="1F4E79" w:themeColor="accent1" w:themeShade="80"/>
                <w:sz w:val="24"/>
                <w:szCs w:val="24"/>
              </w:rPr>
            </w:pPr>
          </w:p>
        </w:tc>
      </w:tr>
      <w:tr w:rsidR="00F73496" w14:paraId="338D52F1" w14:textId="77777777" w:rsidTr="00DF32BA">
        <w:trPr>
          <w:trHeight w:val="512"/>
        </w:trPr>
        <w:tc>
          <w:tcPr>
            <w:tcW w:w="704" w:type="dxa"/>
            <w:tcBorders>
              <w:top w:val="nil"/>
              <w:left w:val="nil"/>
              <w:bottom w:val="nil"/>
              <w:right w:val="nil"/>
            </w:tcBorders>
          </w:tcPr>
          <w:p w14:paraId="08104693" w14:textId="321C96A8" w:rsidR="00F73496" w:rsidRPr="000C4E30" w:rsidRDefault="00F73496" w:rsidP="00F73496">
            <w:pPr>
              <w:rPr>
                <w:rFonts w:ascii="Arial" w:hAnsi="Arial" w:cs="Arial"/>
                <w:b/>
                <w:color w:val="1F4E79" w:themeColor="accent1" w:themeShade="80"/>
                <w:sz w:val="24"/>
                <w:szCs w:val="24"/>
              </w:rPr>
            </w:pPr>
            <w:r w:rsidRPr="000C4E30">
              <w:rPr>
                <w:rFonts w:ascii="Arial" w:hAnsi="Arial" w:cs="Arial"/>
                <w:b/>
                <w:color w:val="1F4E79" w:themeColor="accent1" w:themeShade="80"/>
                <w:sz w:val="24"/>
                <w:szCs w:val="24"/>
              </w:rPr>
              <w:t>16.2</w:t>
            </w:r>
          </w:p>
        </w:tc>
        <w:tc>
          <w:tcPr>
            <w:tcW w:w="6946" w:type="dxa"/>
            <w:tcBorders>
              <w:top w:val="nil"/>
              <w:left w:val="nil"/>
              <w:bottom w:val="nil"/>
              <w:right w:val="nil"/>
            </w:tcBorders>
          </w:tcPr>
          <w:p w14:paraId="737033AA" w14:textId="7C09FEBC" w:rsidR="00F73496" w:rsidRPr="000C4E30" w:rsidRDefault="00F73496" w:rsidP="00F73496">
            <w:pPr>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The Regulations and Procedures for Taught Students</w:t>
            </w:r>
            <w:r w:rsidR="00B5465D" w:rsidRPr="000C4E30">
              <w:rPr>
                <w:rFonts w:ascii="Arial" w:hAnsi="Arial" w:cs="Arial"/>
                <w:color w:val="1F4E79" w:themeColor="accent1" w:themeShade="80"/>
                <w:sz w:val="24"/>
                <w:szCs w:val="24"/>
              </w:rPr>
              <w:t xml:space="preserve"> were approved by the Committee. </w:t>
            </w:r>
          </w:p>
        </w:tc>
        <w:tc>
          <w:tcPr>
            <w:tcW w:w="2806" w:type="dxa"/>
            <w:tcBorders>
              <w:top w:val="nil"/>
              <w:left w:val="nil"/>
              <w:bottom w:val="nil"/>
              <w:right w:val="nil"/>
            </w:tcBorders>
          </w:tcPr>
          <w:p w14:paraId="5FD7ACC9" w14:textId="77777777" w:rsidR="000C4E30" w:rsidRPr="000C4E30" w:rsidRDefault="000C4E30" w:rsidP="000C4E30">
            <w:pPr>
              <w:jc w:val="right"/>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UTLC_2022_05_18_P16.2a</w:t>
            </w:r>
          </w:p>
          <w:p w14:paraId="327AFECA" w14:textId="5F9270E9" w:rsidR="00DE22B0" w:rsidRPr="000C4E30" w:rsidRDefault="000C4E30" w:rsidP="000C4E30">
            <w:pPr>
              <w:jc w:val="right"/>
              <w:rPr>
                <w:rFonts w:ascii="Arial" w:hAnsi="Arial" w:cs="Arial"/>
                <w:color w:val="1F4E79" w:themeColor="accent1" w:themeShade="80"/>
                <w:sz w:val="24"/>
                <w:szCs w:val="24"/>
              </w:rPr>
            </w:pPr>
            <w:r w:rsidRPr="000C4E30">
              <w:rPr>
                <w:rFonts w:ascii="Arial" w:hAnsi="Arial" w:cs="Arial"/>
                <w:color w:val="1F4E79" w:themeColor="accent1" w:themeShade="80"/>
                <w:sz w:val="24"/>
                <w:szCs w:val="24"/>
              </w:rPr>
              <w:t>UTLC_2022_05_18_P16.2b</w:t>
            </w:r>
          </w:p>
        </w:tc>
      </w:tr>
      <w:tr w:rsidR="00F73496" w14:paraId="332A9F0A" w14:textId="77777777" w:rsidTr="00DF32BA">
        <w:trPr>
          <w:trHeight w:val="497"/>
        </w:trPr>
        <w:tc>
          <w:tcPr>
            <w:tcW w:w="704" w:type="dxa"/>
            <w:tcBorders>
              <w:top w:val="nil"/>
              <w:left w:val="nil"/>
              <w:bottom w:val="nil"/>
              <w:right w:val="nil"/>
            </w:tcBorders>
          </w:tcPr>
          <w:p w14:paraId="2C4B09B2" w14:textId="03C676F2" w:rsidR="00F73496" w:rsidRPr="007A0D82" w:rsidRDefault="00F73496" w:rsidP="00F73496">
            <w:pPr>
              <w:rPr>
                <w:rFonts w:ascii="Arial" w:hAnsi="Arial" w:cs="Arial"/>
                <w:b/>
                <w:color w:val="1F4E79" w:themeColor="accent1" w:themeShade="80"/>
                <w:sz w:val="24"/>
                <w:szCs w:val="24"/>
              </w:rPr>
            </w:pPr>
            <w:r w:rsidRPr="007A0D82">
              <w:rPr>
                <w:rFonts w:ascii="Arial" w:hAnsi="Arial" w:cs="Arial"/>
                <w:b/>
                <w:color w:val="1F4E79" w:themeColor="accent1" w:themeShade="80"/>
                <w:sz w:val="24"/>
                <w:szCs w:val="24"/>
              </w:rPr>
              <w:t>16.3</w:t>
            </w:r>
          </w:p>
        </w:tc>
        <w:tc>
          <w:tcPr>
            <w:tcW w:w="6946" w:type="dxa"/>
            <w:tcBorders>
              <w:top w:val="nil"/>
              <w:left w:val="nil"/>
              <w:bottom w:val="nil"/>
              <w:right w:val="nil"/>
            </w:tcBorders>
          </w:tcPr>
          <w:p w14:paraId="55BFB39A" w14:textId="1A0E7211" w:rsidR="00F73496" w:rsidRPr="007A0D82" w:rsidRDefault="00F73496" w:rsidP="00F73496">
            <w:pPr>
              <w:rPr>
                <w:rFonts w:ascii="Arial" w:hAnsi="Arial" w:cs="Arial"/>
                <w:color w:val="1F4E79" w:themeColor="accent1" w:themeShade="80"/>
                <w:sz w:val="24"/>
                <w:szCs w:val="24"/>
              </w:rPr>
            </w:pPr>
            <w:r w:rsidRPr="007A0D82">
              <w:rPr>
                <w:rFonts w:ascii="Arial" w:hAnsi="Arial" w:cs="Arial"/>
                <w:color w:val="1F4E79" w:themeColor="accent1" w:themeShade="80"/>
                <w:sz w:val="24"/>
                <w:szCs w:val="24"/>
              </w:rPr>
              <w:t>The Regulations for Awards Taught Students</w:t>
            </w:r>
            <w:r w:rsidR="00B5465D" w:rsidRPr="007A0D82">
              <w:rPr>
                <w:rFonts w:ascii="Arial" w:hAnsi="Arial" w:cs="Arial"/>
                <w:color w:val="1F4E79" w:themeColor="accent1" w:themeShade="80"/>
                <w:sz w:val="24"/>
                <w:szCs w:val="24"/>
              </w:rPr>
              <w:t xml:space="preserve"> were approved by the Committee. The members advised that the proposed changes to the PGT referral bands and 75-credit regulation would be well received. The Director of Registry advised that there would be a joint effort to disseminate the changes to the regulation ahead of 1 August 2022 and Registry would provide updated guidance on the new PGT referral regulations. It was </w:t>
            </w:r>
            <w:r w:rsidR="00B5465D" w:rsidRPr="007A0D82">
              <w:rPr>
                <w:rFonts w:ascii="Arial" w:hAnsi="Arial" w:cs="Arial"/>
                <w:color w:val="1F4E79" w:themeColor="accent1" w:themeShade="80"/>
                <w:sz w:val="24"/>
                <w:szCs w:val="24"/>
              </w:rPr>
              <w:lastRenderedPageBreak/>
              <w:t xml:space="preserve">noted that subject to the CMA signoff, the changes would be implemented from 2022/23. </w:t>
            </w:r>
          </w:p>
        </w:tc>
        <w:tc>
          <w:tcPr>
            <w:tcW w:w="2806" w:type="dxa"/>
            <w:tcBorders>
              <w:top w:val="nil"/>
              <w:left w:val="nil"/>
              <w:bottom w:val="nil"/>
              <w:right w:val="nil"/>
            </w:tcBorders>
          </w:tcPr>
          <w:p w14:paraId="48653A66" w14:textId="77777777" w:rsidR="007A0D82" w:rsidRPr="007A0D82" w:rsidRDefault="007A0D82" w:rsidP="007A0D82">
            <w:pPr>
              <w:jc w:val="right"/>
              <w:rPr>
                <w:rFonts w:ascii="Arial" w:hAnsi="Arial" w:cs="Arial"/>
                <w:color w:val="1F4E79" w:themeColor="accent1" w:themeShade="80"/>
                <w:sz w:val="24"/>
                <w:szCs w:val="24"/>
              </w:rPr>
            </w:pPr>
            <w:r w:rsidRPr="007A0D82">
              <w:rPr>
                <w:rFonts w:ascii="Arial" w:hAnsi="Arial" w:cs="Arial"/>
                <w:color w:val="1F4E79" w:themeColor="accent1" w:themeShade="80"/>
                <w:sz w:val="24"/>
                <w:szCs w:val="24"/>
              </w:rPr>
              <w:lastRenderedPageBreak/>
              <w:t>UTLC_2022_05_18_P16.3a</w:t>
            </w:r>
          </w:p>
          <w:p w14:paraId="6E7E4839" w14:textId="77777777" w:rsidR="007A0D82" w:rsidRPr="007A0D82" w:rsidRDefault="007A0D82" w:rsidP="007A0D82">
            <w:pPr>
              <w:jc w:val="right"/>
              <w:rPr>
                <w:rFonts w:ascii="Arial" w:hAnsi="Arial" w:cs="Arial"/>
                <w:color w:val="1F4E79" w:themeColor="accent1" w:themeShade="80"/>
                <w:sz w:val="24"/>
                <w:szCs w:val="24"/>
              </w:rPr>
            </w:pPr>
            <w:r w:rsidRPr="007A0D82">
              <w:rPr>
                <w:rFonts w:ascii="Arial" w:hAnsi="Arial" w:cs="Arial"/>
                <w:color w:val="1F4E79" w:themeColor="accent1" w:themeShade="80"/>
                <w:sz w:val="24"/>
                <w:szCs w:val="24"/>
              </w:rPr>
              <w:t>UTLC_2022_05_18_P16.3b</w:t>
            </w:r>
          </w:p>
          <w:p w14:paraId="3659EECA" w14:textId="54BF4274" w:rsidR="00B5465D" w:rsidRPr="003F50C0" w:rsidRDefault="00B5465D" w:rsidP="00F73496">
            <w:pPr>
              <w:jc w:val="right"/>
              <w:rPr>
                <w:rFonts w:ascii="Arial" w:hAnsi="Arial" w:cs="Arial"/>
                <w:sz w:val="20"/>
                <w:szCs w:val="20"/>
              </w:rPr>
            </w:pPr>
            <w:r>
              <w:rPr>
                <w:rFonts w:ascii="Arial" w:hAnsi="Arial" w:cs="Arial"/>
                <w:sz w:val="20"/>
                <w:szCs w:val="20"/>
              </w:rPr>
              <w:t xml:space="preserve"> </w:t>
            </w:r>
          </w:p>
        </w:tc>
      </w:tr>
      <w:tr w:rsidR="00F73496" w14:paraId="79C9B9B0" w14:textId="77777777" w:rsidTr="00DF32BA">
        <w:trPr>
          <w:trHeight w:val="512"/>
        </w:trPr>
        <w:tc>
          <w:tcPr>
            <w:tcW w:w="704" w:type="dxa"/>
            <w:tcBorders>
              <w:top w:val="nil"/>
              <w:left w:val="nil"/>
              <w:bottom w:val="nil"/>
              <w:right w:val="nil"/>
            </w:tcBorders>
          </w:tcPr>
          <w:p w14:paraId="78F88FDE" w14:textId="477D5BF0" w:rsidR="00F73496" w:rsidRPr="009E51E0" w:rsidRDefault="00F73496" w:rsidP="00F73496">
            <w:pPr>
              <w:rPr>
                <w:rFonts w:ascii="Arial" w:hAnsi="Arial" w:cs="Arial"/>
                <w:b/>
                <w:color w:val="1F4E79" w:themeColor="accent1" w:themeShade="80"/>
                <w:sz w:val="24"/>
                <w:szCs w:val="24"/>
              </w:rPr>
            </w:pPr>
            <w:r w:rsidRPr="009E51E0">
              <w:rPr>
                <w:rFonts w:ascii="Arial" w:hAnsi="Arial" w:cs="Arial"/>
                <w:b/>
                <w:color w:val="1F4E79" w:themeColor="accent1" w:themeShade="80"/>
                <w:sz w:val="24"/>
                <w:szCs w:val="24"/>
              </w:rPr>
              <w:t>16.4</w:t>
            </w:r>
          </w:p>
        </w:tc>
        <w:tc>
          <w:tcPr>
            <w:tcW w:w="6946" w:type="dxa"/>
            <w:tcBorders>
              <w:top w:val="nil"/>
              <w:left w:val="nil"/>
              <w:bottom w:val="nil"/>
              <w:right w:val="nil"/>
            </w:tcBorders>
          </w:tcPr>
          <w:p w14:paraId="72B438D2" w14:textId="6BB93789" w:rsidR="00F73496" w:rsidRPr="009E51E0" w:rsidRDefault="00F73496" w:rsidP="00F73496">
            <w:pPr>
              <w:rPr>
                <w:rFonts w:ascii="Arial" w:hAnsi="Arial" w:cs="Arial"/>
                <w:color w:val="1F4E79" w:themeColor="accent1" w:themeShade="80"/>
                <w:sz w:val="24"/>
                <w:szCs w:val="24"/>
              </w:rPr>
            </w:pPr>
            <w:r w:rsidRPr="009E51E0">
              <w:rPr>
                <w:rFonts w:ascii="Arial" w:hAnsi="Arial" w:cs="Arial"/>
                <w:color w:val="1F4E79" w:themeColor="accent1" w:themeShade="80"/>
                <w:sz w:val="24"/>
                <w:szCs w:val="24"/>
              </w:rPr>
              <w:t>The Quality Assurance Procedures for Taught Courses and Research Awards 2022</w:t>
            </w:r>
            <w:r w:rsidR="003038CE" w:rsidRPr="009E51E0">
              <w:rPr>
                <w:rFonts w:ascii="Arial" w:hAnsi="Arial" w:cs="Arial"/>
                <w:color w:val="1F4E79" w:themeColor="accent1" w:themeShade="80"/>
                <w:sz w:val="24"/>
                <w:szCs w:val="24"/>
              </w:rPr>
              <w:t xml:space="preserve"> were approved by the Committee. </w:t>
            </w:r>
            <w:r w:rsidR="00DF0FD2" w:rsidRPr="009E51E0">
              <w:rPr>
                <w:rFonts w:ascii="Arial" w:hAnsi="Arial" w:cs="Arial"/>
                <w:color w:val="1F4E79" w:themeColor="accent1" w:themeShade="80"/>
                <w:sz w:val="24"/>
                <w:szCs w:val="24"/>
              </w:rPr>
              <w:t>It was noted that Section M would include reference to pre-CABs</w:t>
            </w:r>
            <w:r w:rsidR="00C330FE" w:rsidRPr="009E51E0">
              <w:rPr>
                <w:rFonts w:ascii="Arial" w:hAnsi="Arial" w:cs="Arial"/>
                <w:color w:val="1F4E79" w:themeColor="accent1" w:themeShade="80"/>
                <w:sz w:val="24"/>
                <w:szCs w:val="24"/>
              </w:rPr>
              <w:t xml:space="preserve"> and the main change was to the validation of short courses. </w:t>
            </w:r>
          </w:p>
        </w:tc>
        <w:tc>
          <w:tcPr>
            <w:tcW w:w="2806" w:type="dxa"/>
            <w:tcBorders>
              <w:top w:val="nil"/>
              <w:left w:val="nil"/>
              <w:bottom w:val="nil"/>
              <w:right w:val="nil"/>
            </w:tcBorders>
          </w:tcPr>
          <w:p w14:paraId="064F3AAA" w14:textId="77777777" w:rsidR="009E51E0" w:rsidRPr="009E51E0" w:rsidRDefault="009E51E0" w:rsidP="009E51E0">
            <w:pPr>
              <w:jc w:val="right"/>
              <w:rPr>
                <w:rFonts w:ascii="Arial" w:hAnsi="Arial" w:cs="Arial"/>
                <w:color w:val="1F4E79" w:themeColor="accent1" w:themeShade="80"/>
                <w:sz w:val="24"/>
                <w:szCs w:val="24"/>
              </w:rPr>
            </w:pPr>
            <w:r w:rsidRPr="009E51E0">
              <w:rPr>
                <w:rFonts w:ascii="Arial" w:hAnsi="Arial" w:cs="Arial"/>
                <w:color w:val="1F4E79" w:themeColor="accent1" w:themeShade="80"/>
                <w:sz w:val="24"/>
                <w:szCs w:val="24"/>
              </w:rPr>
              <w:t>UTLC_2022_05_18_P16.4</w:t>
            </w:r>
          </w:p>
          <w:p w14:paraId="06F4D631" w14:textId="0CF06363" w:rsidR="00F73496" w:rsidRPr="009E51E0" w:rsidRDefault="00F73496" w:rsidP="00F73496">
            <w:pPr>
              <w:jc w:val="right"/>
              <w:rPr>
                <w:rFonts w:ascii="Arial" w:hAnsi="Arial" w:cs="Arial"/>
                <w:color w:val="1F4E79" w:themeColor="accent1" w:themeShade="80"/>
                <w:sz w:val="24"/>
                <w:szCs w:val="24"/>
              </w:rPr>
            </w:pPr>
          </w:p>
        </w:tc>
      </w:tr>
      <w:tr w:rsidR="00F73496" w14:paraId="4AF7ADD2" w14:textId="77777777" w:rsidTr="00DF32BA">
        <w:trPr>
          <w:trHeight w:val="256"/>
        </w:trPr>
        <w:tc>
          <w:tcPr>
            <w:tcW w:w="704" w:type="dxa"/>
            <w:tcBorders>
              <w:top w:val="nil"/>
              <w:left w:val="nil"/>
              <w:bottom w:val="nil"/>
              <w:right w:val="nil"/>
            </w:tcBorders>
          </w:tcPr>
          <w:p w14:paraId="1FB19841"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7B2AC6AF" w14:textId="77777777" w:rsidR="00F73496" w:rsidRDefault="00F73496" w:rsidP="00F73496">
            <w:pPr>
              <w:rPr>
                <w:rFonts w:ascii="Arial" w:hAnsi="Arial" w:cs="Arial"/>
                <w:color w:val="000000" w:themeColor="text1"/>
              </w:rPr>
            </w:pPr>
          </w:p>
        </w:tc>
        <w:tc>
          <w:tcPr>
            <w:tcW w:w="2806" w:type="dxa"/>
            <w:tcBorders>
              <w:top w:val="nil"/>
              <w:left w:val="nil"/>
              <w:bottom w:val="nil"/>
              <w:right w:val="nil"/>
            </w:tcBorders>
          </w:tcPr>
          <w:p w14:paraId="331515F2" w14:textId="77777777" w:rsidR="00F73496" w:rsidRPr="003F50C0" w:rsidRDefault="00F73496" w:rsidP="00F73496">
            <w:pPr>
              <w:jc w:val="right"/>
              <w:rPr>
                <w:rFonts w:ascii="Arial" w:hAnsi="Arial" w:cs="Arial"/>
                <w:sz w:val="20"/>
                <w:szCs w:val="20"/>
              </w:rPr>
            </w:pPr>
          </w:p>
        </w:tc>
      </w:tr>
      <w:tr w:rsidR="00F73496" w14:paraId="1AC53DCA" w14:textId="77777777" w:rsidTr="00DF32BA">
        <w:trPr>
          <w:trHeight w:val="256"/>
        </w:trPr>
        <w:tc>
          <w:tcPr>
            <w:tcW w:w="704" w:type="dxa"/>
            <w:tcBorders>
              <w:top w:val="nil"/>
              <w:left w:val="nil"/>
              <w:bottom w:val="nil"/>
              <w:right w:val="nil"/>
            </w:tcBorders>
          </w:tcPr>
          <w:p w14:paraId="416E63BD" w14:textId="74C53060" w:rsidR="00F73496" w:rsidRPr="009E51E0" w:rsidRDefault="00F73496" w:rsidP="00F73496">
            <w:pPr>
              <w:rPr>
                <w:rFonts w:ascii="Arial" w:hAnsi="Arial" w:cs="Arial"/>
                <w:b/>
                <w:color w:val="1F4E79" w:themeColor="accent1" w:themeShade="80"/>
                <w:sz w:val="24"/>
                <w:szCs w:val="24"/>
              </w:rPr>
            </w:pPr>
            <w:r w:rsidRPr="009E51E0">
              <w:rPr>
                <w:rFonts w:ascii="Arial" w:hAnsi="Arial" w:cs="Arial"/>
                <w:b/>
                <w:color w:val="1F4E79" w:themeColor="accent1" w:themeShade="80"/>
                <w:sz w:val="24"/>
                <w:szCs w:val="24"/>
              </w:rPr>
              <w:t>17.</w:t>
            </w:r>
          </w:p>
        </w:tc>
        <w:tc>
          <w:tcPr>
            <w:tcW w:w="6946" w:type="dxa"/>
            <w:tcBorders>
              <w:top w:val="nil"/>
              <w:left w:val="nil"/>
              <w:bottom w:val="nil"/>
              <w:right w:val="nil"/>
            </w:tcBorders>
          </w:tcPr>
          <w:p w14:paraId="42F5303D" w14:textId="65D2D670" w:rsidR="00F73496" w:rsidRPr="009E51E0" w:rsidRDefault="00F73496" w:rsidP="00F73496">
            <w:pPr>
              <w:rPr>
                <w:rFonts w:ascii="Arial" w:eastAsia="Times New Roman" w:hAnsi="Arial" w:cs="Arial"/>
                <w:b/>
                <w:bCs/>
                <w:color w:val="1F4E79" w:themeColor="accent1" w:themeShade="80"/>
                <w:sz w:val="24"/>
                <w:szCs w:val="24"/>
              </w:rPr>
            </w:pPr>
            <w:r w:rsidRPr="009E51E0">
              <w:rPr>
                <w:rFonts w:ascii="Arial" w:eastAsia="Times New Roman" w:hAnsi="Arial" w:cs="Arial"/>
                <w:b/>
                <w:bCs/>
                <w:color w:val="1F4E79" w:themeColor="accent1" w:themeShade="80"/>
                <w:sz w:val="24"/>
                <w:szCs w:val="24"/>
              </w:rPr>
              <w:t>LIBRARY AND COMPUTING REGULATIONS</w:t>
            </w:r>
          </w:p>
        </w:tc>
        <w:tc>
          <w:tcPr>
            <w:tcW w:w="2806" w:type="dxa"/>
            <w:tcBorders>
              <w:top w:val="nil"/>
              <w:left w:val="nil"/>
              <w:bottom w:val="nil"/>
              <w:right w:val="nil"/>
            </w:tcBorders>
          </w:tcPr>
          <w:p w14:paraId="53486130" w14:textId="77777777" w:rsidR="00F73496" w:rsidRPr="009E51E0" w:rsidRDefault="00F73496" w:rsidP="00F73496">
            <w:pPr>
              <w:jc w:val="right"/>
              <w:rPr>
                <w:rFonts w:ascii="Arial" w:hAnsi="Arial" w:cs="Arial"/>
                <w:color w:val="1F4E79" w:themeColor="accent1" w:themeShade="80"/>
                <w:sz w:val="24"/>
                <w:szCs w:val="24"/>
              </w:rPr>
            </w:pPr>
          </w:p>
        </w:tc>
      </w:tr>
      <w:tr w:rsidR="00F73496" w14:paraId="37DC8087" w14:textId="77777777" w:rsidTr="00DF32BA">
        <w:trPr>
          <w:trHeight w:val="256"/>
        </w:trPr>
        <w:tc>
          <w:tcPr>
            <w:tcW w:w="704" w:type="dxa"/>
            <w:tcBorders>
              <w:top w:val="nil"/>
              <w:left w:val="nil"/>
              <w:bottom w:val="nil"/>
              <w:right w:val="nil"/>
            </w:tcBorders>
          </w:tcPr>
          <w:p w14:paraId="214E13B4" w14:textId="799AA345" w:rsidR="00F73496" w:rsidRPr="009E51E0" w:rsidRDefault="00F73496" w:rsidP="00F73496">
            <w:pPr>
              <w:rPr>
                <w:rFonts w:ascii="Arial" w:hAnsi="Arial" w:cs="Arial"/>
                <w:b/>
                <w:color w:val="1F4E79" w:themeColor="accent1" w:themeShade="80"/>
                <w:sz w:val="24"/>
                <w:szCs w:val="24"/>
              </w:rPr>
            </w:pPr>
            <w:r w:rsidRPr="009E51E0">
              <w:rPr>
                <w:rFonts w:ascii="Arial" w:hAnsi="Arial" w:cs="Arial"/>
                <w:b/>
                <w:color w:val="1F4E79" w:themeColor="accent1" w:themeShade="80"/>
                <w:sz w:val="24"/>
                <w:szCs w:val="24"/>
              </w:rPr>
              <w:t>17.1</w:t>
            </w:r>
          </w:p>
        </w:tc>
        <w:tc>
          <w:tcPr>
            <w:tcW w:w="6946" w:type="dxa"/>
            <w:tcBorders>
              <w:top w:val="nil"/>
              <w:left w:val="nil"/>
              <w:bottom w:val="nil"/>
              <w:right w:val="nil"/>
            </w:tcBorders>
          </w:tcPr>
          <w:p w14:paraId="4B56991C" w14:textId="0149266B" w:rsidR="00F73496" w:rsidRPr="009E51E0" w:rsidRDefault="00F73496" w:rsidP="00F73496">
            <w:pPr>
              <w:rPr>
                <w:rFonts w:ascii="Arial" w:eastAsia="Times New Roman" w:hAnsi="Arial" w:cs="Arial"/>
                <w:color w:val="1F4E79" w:themeColor="accent1" w:themeShade="80"/>
                <w:sz w:val="24"/>
                <w:szCs w:val="24"/>
              </w:rPr>
            </w:pPr>
            <w:r w:rsidRPr="009E51E0">
              <w:rPr>
                <w:rFonts w:ascii="Arial" w:eastAsia="Times New Roman" w:hAnsi="Arial" w:cs="Arial"/>
                <w:color w:val="1F4E79" w:themeColor="accent1" w:themeShade="80"/>
                <w:sz w:val="24"/>
                <w:szCs w:val="24"/>
              </w:rPr>
              <w:t>T</w:t>
            </w:r>
            <w:r w:rsidR="00A44061" w:rsidRPr="009E51E0">
              <w:rPr>
                <w:rFonts w:ascii="Arial" w:eastAsia="Times New Roman" w:hAnsi="Arial" w:cs="Arial"/>
                <w:color w:val="1F4E79" w:themeColor="accent1" w:themeShade="80"/>
                <w:sz w:val="24"/>
                <w:szCs w:val="24"/>
              </w:rPr>
              <w:t xml:space="preserve">he Committee </w:t>
            </w:r>
            <w:r w:rsidRPr="009E51E0">
              <w:rPr>
                <w:rFonts w:ascii="Arial" w:eastAsia="Times New Roman" w:hAnsi="Arial" w:cs="Arial"/>
                <w:color w:val="1F4E79" w:themeColor="accent1" w:themeShade="80"/>
                <w:sz w:val="24"/>
                <w:szCs w:val="24"/>
              </w:rPr>
              <w:t>consider</w:t>
            </w:r>
            <w:r w:rsidR="00A44061" w:rsidRPr="009E51E0">
              <w:rPr>
                <w:rFonts w:ascii="Arial" w:eastAsia="Times New Roman" w:hAnsi="Arial" w:cs="Arial"/>
                <w:color w:val="1F4E79" w:themeColor="accent1" w:themeShade="80"/>
                <w:sz w:val="24"/>
                <w:szCs w:val="24"/>
              </w:rPr>
              <w:t>ed and approved</w:t>
            </w:r>
            <w:r w:rsidRPr="009E51E0">
              <w:rPr>
                <w:rFonts w:ascii="Arial" w:eastAsia="Times New Roman" w:hAnsi="Arial" w:cs="Arial"/>
                <w:color w:val="1F4E79" w:themeColor="accent1" w:themeShade="80"/>
                <w:sz w:val="24"/>
                <w:szCs w:val="24"/>
              </w:rPr>
              <w:t xml:space="preserve"> the revised Library and Computing Regulations</w:t>
            </w:r>
            <w:r w:rsidR="00A44061" w:rsidRPr="009E51E0">
              <w:rPr>
                <w:rFonts w:ascii="Arial" w:eastAsia="Times New Roman" w:hAnsi="Arial" w:cs="Arial"/>
                <w:color w:val="1F4E79" w:themeColor="accent1" w:themeShade="80"/>
                <w:sz w:val="24"/>
                <w:szCs w:val="24"/>
              </w:rPr>
              <w:t>. The Director of Computing and Library Services advised that minor changes have been made.</w:t>
            </w:r>
            <w:r w:rsidRPr="009E51E0">
              <w:rPr>
                <w:rFonts w:ascii="Arial" w:eastAsia="Times New Roman" w:hAnsi="Arial" w:cs="Arial"/>
                <w:color w:val="1F4E79" w:themeColor="accent1" w:themeShade="80"/>
                <w:sz w:val="24"/>
                <w:szCs w:val="24"/>
              </w:rPr>
              <w:t xml:space="preserve"> </w:t>
            </w:r>
          </w:p>
        </w:tc>
        <w:tc>
          <w:tcPr>
            <w:tcW w:w="2806" w:type="dxa"/>
            <w:tcBorders>
              <w:top w:val="nil"/>
              <w:left w:val="nil"/>
              <w:bottom w:val="nil"/>
              <w:right w:val="nil"/>
            </w:tcBorders>
          </w:tcPr>
          <w:p w14:paraId="273A811A" w14:textId="77777777" w:rsidR="009E51E0" w:rsidRPr="009E51E0" w:rsidRDefault="009E51E0" w:rsidP="009E51E0">
            <w:pPr>
              <w:jc w:val="right"/>
              <w:rPr>
                <w:rFonts w:ascii="Arial" w:hAnsi="Arial" w:cs="Arial"/>
                <w:color w:val="1F4E79" w:themeColor="accent1" w:themeShade="80"/>
                <w:sz w:val="24"/>
                <w:szCs w:val="24"/>
              </w:rPr>
            </w:pPr>
            <w:r w:rsidRPr="009E51E0">
              <w:rPr>
                <w:rFonts w:ascii="Arial" w:hAnsi="Arial" w:cs="Arial"/>
                <w:color w:val="1F4E79" w:themeColor="accent1" w:themeShade="80"/>
                <w:sz w:val="24"/>
                <w:szCs w:val="24"/>
              </w:rPr>
              <w:t>UTLC_2022_05_18_P17.1a</w:t>
            </w:r>
          </w:p>
          <w:p w14:paraId="0A779AB7" w14:textId="77777777" w:rsidR="009E51E0" w:rsidRPr="009E51E0" w:rsidRDefault="009E51E0" w:rsidP="009E51E0">
            <w:pPr>
              <w:jc w:val="right"/>
              <w:rPr>
                <w:rFonts w:ascii="Arial" w:hAnsi="Arial" w:cs="Arial"/>
                <w:color w:val="1F4E79" w:themeColor="accent1" w:themeShade="80"/>
                <w:sz w:val="24"/>
                <w:szCs w:val="24"/>
              </w:rPr>
            </w:pPr>
            <w:r w:rsidRPr="009E51E0">
              <w:rPr>
                <w:rFonts w:ascii="Arial" w:hAnsi="Arial" w:cs="Arial"/>
                <w:color w:val="1F4E79" w:themeColor="accent1" w:themeShade="80"/>
                <w:sz w:val="24"/>
                <w:szCs w:val="24"/>
              </w:rPr>
              <w:t>UTLC_2022_05_18_P17.1b</w:t>
            </w:r>
          </w:p>
          <w:p w14:paraId="297710E9" w14:textId="77777777" w:rsidR="009E51E0" w:rsidRPr="009E51E0" w:rsidRDefault="009E51E0" w:rsidP="009E51E0">
            <w:pPr>
              <w:jc w:val="right"/>
              <w:rPr>
                <w:rFonts w:ascii="Arial" w:hAnsi="Arial" w:cs="Arial"/>
                <w:color w:val="1F4E79" w:themeColor="accent1" w:themeShade="80"/>
                <w:sz w:val="24"/>
                <w:szCs w:val="24"/>
              </w:rPr>
            </w:pPr>
            <w:r w:rsidRPr="009E51E0">
              <w:rPr>
                <w:rFonts w:ascii="Arial" w:hAnsi="Arial" w:cs="Arial"/>
                <w:color w:val="1F4E79" w:themeColor="accent1" w:themeShade="80"/>
                <w:sz w:val="24"/>
                <w:szCs w:val="24"/>
              </w:rPr>
              <w:t>UTLC_2022_05_18_P17.1c</w:t>
            </w:r>
          </w:p>
          <w:p w14:paraId="543CB444" w14:textId="7384BCC4" w:rsidR="0061277E" w:rsidRPr="009E51E0" w:rsidRDefault="009E51E0" w:rsidP="009E51E0">
            <w:pPr>
              <w:jc w:val="right"/>
              <w:rPr>
                <w:rFonts w:ascii="Arial" w:eastAsia="Times New Roman" w:hAnsi="Arial" w:cs="Arial"/>
                <w:color w:val="1F4E79" w:themeColor="accent1" w:themeShade="80"/>
                <w:sz w:val="24"/>
                <w:szCs w:val="24"/>
              </w:rPr>
            </w:pPr>
            <w:r w:rsidRPr="009E51E0">
              <w:rPr>
                <w:rFonts w:ascii="Arial" w:hAnsi="Arial" w:cs="Arial"/>
                <w:color w:val="1F4E79" w:themeColor="accent1" w:themeShade="80"/>
                <w:sz w:val="24"/>
                <w:szCs w:val="24"/>
              </w:rPr>
              <w:t>UTLC_2022_05_18_P17.1d</w:t>
            </w:r>
          </w:p>
        </w:tc>
      </w:tr>
      <w:tr w:rsidR="00F73496" w14:paraId="1A24DBF0" w14:textId="77777777" w:rsidTr="00DF32BA">
        <w:trPr>
          <w:trHeight w:val="256"/>
        </w:trPr>
        <w:tc>
          <w:tcPr>
            <w:tcW w:w="704" w:type="dxa"/>
            <w:tcBorders>
              <w:top w:val="nil"/>
              <w:left w:val="nil"/>
              <w:bottom w:val="nil"/>
              <w:right w:val="nil"/>
            </w:tcBorders>
          </w:tcPr>
          <w:p w14:paraId="65DCF683"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68E9E8B6" w14:textId="77777777" w:rsidR="00F73496" w:rsidRPr="005130EC" w:rsidRDefault="00F73496" w:rsidP="00F73496">
            <w:pPr>
              <w:rPr>
                <w:rFonts w:ascii="Arial" w:eastAsia="Times New Roman" w:hAnsi="Arial" w:cs="Arial"/>
              </w:rPr>
            </w:pPr>
          </w:p>
        </w:tc>
        <w:tc>
          <w:tcPr>
            <w:tcW w:w="2806" w:type="dxa"/>
            <w:tcBorders>
              <w:top w:val="nil"/>
              <w:left w:val="nil"/>
              <w:bottom w:val="nil"/>
              <w:right w:val="nil"/>
            </w:tcBorders>
          </w:tcPr>
          <w:p w14:paraId="7091883F" w14:textId="77777777" w:rsidR="00F73496" w:rsidRPr="003F50C0" w:rsidRDefault="00F73496" w:rsidP="00F73496">
            <w:pPr>
              <w:jc w:val="right"/>
              <w:rPr>
                <w:rFonts w:ascii="Arial" w:hAnsi="Arial" w:cs="Arial"/>
                <w:sz w:val="20"/>
                <w:szCs w:val="20"/>
              </w:rPr>
            </w:pPr>
          </w:p>
        </w:tc>
      </w:tr>
      <w:tr w:rsidR="00F73496" w14:paraId="3E3C90F4" w14:textId="77777777" w:rsidTr="00DF32BA">
        <w:trPr>
          <w:trHeight w:val="241"/>
        </w:trPr>
        <w:tc>
          <w:tcPr>
            <w:tcW w:w="704" w:type="dxa"/>
            <w:tcBorders>
              <w:top w:val="nil"/>
              <w:left w:val="nil"/>
              <w:bottom w:val="nil"/>
              <w:right w:val="nil"/>
            </w:tcBorders>
          </w:tcPr>
          <w:p w14:paraId="6C2092D2" w14:textId="427C189D"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18.</w:t>
            </w:r>
          </w:p>
        </w:tc>
        <w:tc>
          <w:tcPr>
            <w:tcW w:w="6946" w:type="dxa"/>
            <w:tcBorders>
              <w:top w:val="nil"/>
              <w:left w:val="nil"/>
              <w:bottom w:val="nil"/>
              <w:right w:val="nil"/>
            </w:tcBorders>
          </w:tcPr>
          <w:p w14:paraId="38AD64BF" w14:textId="17F277E6" w:rsidR="00F73496" w:rsidRPr="00BB28BD" w:rsidRDefault="00F73496" w:rsidP="00F73496">
            <w:pPr>
              <w:rPr>
                <w:rFonts w:ascii="Arial" w:eastAsia="Times New Roman" w:hAnsi="Arial" w:cs="Arial"/>
                <w:b/>
                <w:bCs/>
                <w:color w:val="1F4E79" w:themeColor="accent1" w:themeShade="80"/>
                <w:sz w:val="24"/>
                <w:szCs w:val="24"/>
              </w:rPr>
            </w:pPr>
            <w:r w:rsidRPr="00BB28BD">
              <w:rPr>
                <w:rFonts w:ascii="Arial" w:eastAsia="Times New Roman" w:hAnsi="Arial" w:cs="Arial"/>
                <w:b/>
                <w:bCs/>
                <w:color w:val="1F4E79" w:themeColor="accent1" w:themeShade="80"/>
                <w:sz w:val="24"/>
                <w:szCs w:val="24"/>
              </w:rPr>
              <w:t>ASSESSMENT RETENTION</w:t>
            </w:r>
          </w:p>
        </w:tc>
        <w:tc>
          <w:tcPr>
            <w:tcW w:w="2806" w:type="dxa"/>
            <w:tcBorders>
              <w:top w:val="nil"/>
              <w:left w:val="nil"/>
              <w:bottom w:val="nil"/>
              <w:right w:val="nil"/>
            </w:tcBorders>
          </w:tcPr>
          <w:p w14:paraId="6EFEC0EF" w14:textId="77777777" w:rsidR="00F73496" w:rsidRPr="00BB28BD" w:rsidRDefault="00F73496" w:rsidP="00F73496">
            <w:pPr>
              <w:jc w:val="right"/>
              <w:rPr>
                <w:rFonts w:ascii="Arial" w:hAnsi="Arial" w:cs="Arial"/>
                <w:color w:val="1F4E79" w:themeColor="accent1" w:themeShade="80"/>
                <w:sz w:val="24"/>
                <w:szCs w:val="24"/>
              </w:rPr>
            </w:pPr>
          </w:p>
        </w:tc>
      </w:tr>
      <w:tr w:rsidR="00F73496" w14:paraId="37ADA99F" w14:textId="77777777" w:rsidTr="00DF32BA">
        <w:trPr>
          <w:trHeight w:val="512"/>
        </w:trPr>
        <w:tc>
          <w:tcPr>
            <w:tcW w:w="704" w:type="dxa"/>
            <w:tcBorders>
              <w:top w:val="nil"/>
              <w:left w:val="nil"/>
              <w:bottom w:val="nil"/>
              <w:right w:val="nil"/>
            </w:tcBorders>
          </w:tcPr>
          <w:p w14:paraId="70679E9D" w14:textId="169F1C67"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18.1</w:t>
            </w:r>
          </w:p>
        </w:tc>
        <w:tc>
          <w:tcPr>
            <w:tcW w:w="6946" w:type="dxa"/>
            <w:tcBorders>
              <w:top w:val="nil"/>
              <w:left w:val="nil"/>
              <w:bottom w:val="nil"/>
              <w:right w:val="nil"/>
            </w:tcBorders>
          </w:tcPr>
          <w:p w14:paraId="523CF1F5" w14:textId="278DB745" w:rsidR="00F73496" w:rsidRPr="00BB28BD" w:rsidRDefault="004110BA" w:rsidP="00F73496">
            <w:pPr>
              <w:rPr>
                <w:rFonts w:ascii="Arial" w:eastAsia="Times New Roman" w:hAnsi="Arial" w:cs="Arial"/>
                <w:color w:val="1F4E79" w:themeColor="accent1" w:themeShade="80"/>
                <w:sz w:val="24"/>
                <w:szCs w:val="24"/>
              </w:rPr>
            </w:pPr>
            <w:r w:rsidRPr="00BB28BD">
              <w:rPr>
                <w:rFonts w:ascii="Arial" w:eastAsia="Times New Roman" w:hAnsi="Arial" w:cs="Arial"/>
                <w:color w:val="1F4E79" w:themeColor="accent1" w:themeShade="80"/>
                <w:sz w:val="24"/>
                <w:szCs w:val="24"/>
              </w:rPr>
              <w:t xml:space="preserve">The Director of Registry advised that the OFS is reviewing whether assessments should be kept for five years, and it is assumed this is for a quality review. It is acknowledged that this has sector implications for both physical and virtual space. The issue was raised to draw member’s attention to the potential regulatory change from the OFS and a working group can be convened once more information is provided by the OFS. </w:t>
            </w:r>
          </w:p>
        </w:tc>
        <w:tc>
          <w:tcPr>
            <w:tcW w:w="2806" w:type="dxa"/>
            <w:tcBorders>
              <w:top w:val="nil"/>
              <w:left w:val="nil"/>
              <w:bottom w:val="nil"/>
              <w:right w:val="nil"/>
            </w:tcBorders>
          </w:tcPr>
          <w:p w14:paraId="071B26D7" w14:textId="1CDDC9AE" w:rsidR="00F73496" w:rsidRPr="00BB28BD" w:rsidRDefault="00F73496" w:rsidP="00F73496">
            <w:pPr>
              <w:jc w:val="right"/>
              <w:rPr>
                <w:rFonts w:ascii="Arial" w:hAnsi="Arial" w:cs="Arial"/>
                <w:color w:val="1F4E79" w:themeColor="accent1" w:themeShade="80"/>
                <w:sz w:val="24"/>
                <w:szCs w:val="24"/>
              </w:rPr>
            </w:pPr>
          </w:p>
        </w:tc>
      </w:tr>
      <w:tr w:rsidR="00F73496" w14:paraId="4F3A2878" w14:textId="77777777" w:rsidTr="00DF32BA">
        <w:trPr>
          <w:trHeight w:val="256"/>
        </w:trPr>
        <w:tc>
          <w:tcPr>
            <w:tcW w:w="704" w:type="dxa"/>
            <w:tcBorders>
              <w:top w:val="nil"/>
              <w:left w:val="nil"/>
              <w:bottom w:val="nil"/>
              <w:right w:val="nil"/>
            </w:tcBorders>
          </w:tcPr>
          <w:p w14:paraId="361037DC" w14:textId="77777777" w:rsidR="00F73496" w:rsidRPr="00BB28BD" w:rsidRDefault="00F73496" w:rsidP="00F73496">
            <w:pPr>
              <w:rPr>
                <w:rFonts w:ascii="Arial" w:hAnsi="Arial" w:cs="Arial"/>
                <w:b/>
                <w:color w:val="1F4E79" w:themeColor="accent1" w:themeShade="80"/>
                <w:sz w:val="24"/>
                <w:szCs w:val="24"/>
              </w:rPr>
            </w:pPr>
          </w:p>
        </w:tc>
        <w:tc>
          <w:tcPr>
            <w:tcW w:w="6946" w:type="dxa"/>
            <w:tcBorders>
              <w:top w:val="nil"/>
              <w:left w:val="nil"/>
              <w:bottom w:val="nil"/>
              <w:right w:val="nil"/>
            </w:tcBorders>
          </w:tcPr>
          <w:p w14:paraId="273BB72F" w14:textId="77777777" w:rsidR="00F73496" w:rsidRPr="00BB28BD" w:rsidRDefault="00F73496" w:rsidP="00F73496">
            <w:pPr>
              <w:rPr>
                <w:rFonts w:ascii="Arial" w:hAnsi="Arial" w:cs="Arial"/>
                <w:color w:val="1F4E79" w:themeColor="accent1" w:themeShade="80"/>
                <w:sz w:val="24"/>
                <w:szCs w:val="24"/>
              </w:rPr>
            </w:pPr>
          </w:p>
        </w:tc>
        <w:tc>
          <w:tcPr>
            <w:tcW w:w="2806" w:type="dxa"/>
            <w:tcBorders>
              <w:top w:val="nil"/>
              <w:left w:val="nil"/>
              <w:bottom w:val="nil"/>
              <w:right w:val="nil"/>
            </w:tcBorders>
          </w:tcPr>
          <w:p w14:paraId="38EF4BC2" w14:textId="77777777" w:rsidR="00F73496" w:rsidRPr="00BB28BD" w:rsidRDefault="00F73496" w:rsidP="00F73496">
            <w:pPr>
              <w:jc w:val="right"/>
              <w:rPr>
                <w:rFonts w:ascii="Arial" w:hAnsi="Arial" w:cs="Arial"/>
                <w:color w:val="1F4E79" w:themeColor="accent1" w:themeShade="80"/>
                <w:sz w:val="24"/>
                <w:szCs w:val="24"/>
              </w:rPr>
            </w:pPr>
          </w:p>
        </w:tc>
      </w:tr>
      <w:tr w:rsidR="00F73496" w14:paraId="74B9F0FC" w14:textId="77777777" w:rsidTr="00DF32BA">
        <w:trPr>
          <w:trHeight w:val="256"/>
        </w:trPr>
        <w:tc>
          <w:tcPr>
            <w:tcW w:w="704" w:type="dxa"/>
            <w:tcBorders>
              <w:top w:val="nil"/>
              <w:left w:val="nil"/>
              <w:bottom w:val="nil"/>
              <w:right w:val="nil"/>
            </w:tcBorders>
          </w:tcPr>
          <w:p w14:paraId="52111516" w14:textId="19CE39FC"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19.</w:t>
            </w:r>
          </w:p>
        </w:tc>
        <w:tc>
          <w:tcPr>
            <w:tcW w:w="6946" w:type="dxa"/>
            <w:tcBorders>
              <w:top w:val="nil"/>
              <w:left w:val="nil"/>
              <w:bottom w:val="nil"/>
              <w:right w:val="nil"/>
            </w:tcBorders>
          </w:tcPr>
          <w:p w14:paraId="7462CC73" w14:textId="77777777" w:rsidR="00F73496" w:rsidRPr="00BB28BD" w:rsidRDefault="00F73496" w:rsidP="00F73496">
            <w:pPr>
              <w:rPr>
                <w:rFonts w:ascii="Arial" w:hAnsi="Arial" w:cs="Arial"/>
                <w:color w:val="1F4E79" w:themeColor="accent1" w:themeShade="80"/>
                <w:sz w:val="24"/>
                <w:szCs w:val="24"/>
              </w:rPr>
            </w:pPr>
            <w:r w:rsidRPr="00BB28BD">
              <w:rPr>
                <w:rFonts w:ascii="Arial" w:hAnsi="Arial" w:cs="Arial"/>
                <w:b/>
                <w:color w:val="1F4E79" w:themeColor="accent1" w:themeShade="80"/>
                <w:sz w:val="24"/>
                <w:szCs w:val="24"/>
              </w:rPr>
              <w:t>EXTERNAL EXAMINER APPLICATIONS</w:t>
            </w:r>
          </w:p>
        </w:tc>
        <w:tc>
          <w:tcPr>
            <w:tcW w:w="2806" w:type="dxa"/>
            <w:tcBorders>
              <w:top w:val="nil"/>
              <w:left w:val="nil"/>
              <w:bottom w:val="nil"/>
              <w:right w:val="nil"/>
            </w:tcBorders>
          </w:tcPr>
          <w:p w14:paraId="0D4A415B" w14:textId="061A3EC3" w:rsidR="00F73496" w:rsidRPr="00BB28BD" w:rsidRDefault="00F73496" w:rsidP="00F73496">
            <w:pPr>
              <w:jc w:val="right"/>
              <w:rPr>
                <w:rFonts w:ascii="Arial" w:hAnsi="Arial" w:cs="Arial"/>
                <w:color w:val="1F4E79" w:themeColor="accent1" w:themeShade="80"/>
                <w:sz w:val="24"/>
                <w:szCs w:val="24"/>
              </w:rPr>
            </w:pPr>
          </w:p>
        </w:tc>
      </w:tr>
      <w:tr w:rsidR="00F73496" w:rsidRPr="00185C3D" w14:paraId="6963A626" w14:textId="77777777" w:rsidTr="00DF32BA">
        <w:trPr>
          <w:trHeight w:val="271"/>
        </w:trPr>
        <w:tc>
          <w:tcPr>
            <w:tcW w:w="704" w:type="dxa"/>
            <w:tcBorders>
              <w:top w:val="nil"/>
              <w:left w:val="nil"/>
              <w:bottom w:val="nil"/>
              <w:right w:val="nil"/>
            </w:tcBorders>
          </w:tcPr>
          <w:p w14:paraId="1C5EE4D7" w14:textId="25B5849E"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19.1</w:t>
            </w:r>
          </w:p>
        </w:tc>
        <w:tc>
          <w:tcPr>
            <w:tcW w:w="6946" w:type="dxa"/>
            <w:tcBorders>
              <w:top w:val="nil"/>
              <w:left w:val="nil"/>
              <w:bottom w:val="nil"/>
              <w:right w:val="nil"/>
            </w:tcBorders>
          </w:tcPr>
          <w:p w14:paraId="7F7DD827" w14:textId="247FFD60" w:rsidR="00F73496" w:rsidRPr="00BB28BD" w:rsidRDefault="00F73496" w:rsidP="00F73496">
            <w:pPr>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T</w:t>
            </w:r>
            <w:r w:rsidR="001E2848" w:rsidRPr="00BB28BD">
              <w:rPr>
                <w:rFonts w:ascii="Arial" w:hAnsi="Arial" w:cs="Arial"/>
                <w:color w:val="1F4E79" w:themeColor="accent1" w:themeShade="80"/>
                <w:sz w:val="24"/>
                <w:szCs w:val="24"/>
              </w:rPr>
              <w:t xml:space="preserve">he Committee approved </w:t>
            </w:r>
            <w:r w:rsidRPr="00BB28BD">
              <w:rPr>
                <w:rFonts w:ascii="Arial" w:hAnsi="Arial" w:cs="Arial"/>
                <w:color w:val="1F4E79" w:themeColor="accent1" w:themeShade="80"/>
                <w:sz w:val="24"/>
                <w:szCs w:val="24"/>
              </w:rPr>
              <w:t>the External Examiner applications</w:t>
            </w:r>
          </w:p>
        </w:tc>
        <w:tc>
          <w:tcPr>
            <w:tcW w:w="2806" w:type="dxa"/>
            <w:tcBorders>
              <w:top w:val="nil"/>
              <w:left w:val="nil"/>
              <w:bottom w:val="nil"/>
              <w:right w:val="nil"/>
            </w:tcBorders>
          </w:tcPr>
          <w:p w14:paraId="19DA5E62" w14:textId="04F9E877" w:rsidR="00F73496" w:rsidRPr="00BB28BD" w:rsidRDefault="00BB28BD" w:rsidP="00BB28BD">
            <w:pPr>
              <w:jc w:val="right"/>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UTLC_2022_05_18_P19.1</w:t>
            </w:r>
          </w:p>
        </w:tc>
      </w:tr>
      <w:tr w:rsidR="00F73496" w14:paraId="4F04AF32" w14:textId="77777777" w:rsidTr="00DF32BA">
        <w:trPr>
          <w:trHeight w:val="256"/>
        </w:trPr>
        <w:tc>
          <w:tcPr>
            <w:tcW w:w="704" w:type="dxa"/>
            <w:tcBorders>
              <w:top w:val="nil"/>
              <w:left w:val="nil"/>
              <w:bottom w:val="nil"/>
              <w:right w:val="nil"/>
            </w:tcBorders>
          </w:tcPr>
          <w:p w14:paraId="2EE9E3C3"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5DD36F27" w14:textId="77777777" w:rsidR="00F73496" w:rsidRPr="00CF0F03" w:rsidRDefault="00F73496" w:rsidP="00F73496">
            <w:pPr>
              <w:rPr>
                <w:rFonts w:ascii="Arial" w:eastAsia="Times New Roman" w:hAnsi="Arial" w:cs="Arial"/>
                <w:b/>
              </w:rPr>
            </w:pPr>
          </w:p>
        </w:tc>
        <w:tc>
          <w:tcPr>
            <w:tcW w:w="2806" w:type="dxa"/>
            <w:tcBorders>
              <w:top w:val="nil"/>
              <w:left w:val="nil"/>
              <w:bottom w:val="nil"/>
              <w:right w:val="nil"/>
            </w:tcBorders>
          </w:tcPr>
          <w:p w14:paraId="135C17AB" w14:textId="77777777" w:rsidR="00F73496" w:rsidRPr="003F50C0" w:rsidRDefault="00F73496" w:rsidP="00F73496">
            <w:pPr>
              <w:rPr>
                <w:rFonts w:ascii="Arial" w:hAnsi="Arial" w:cs="Arial"/>
                <w:sz w:val="20"/>
                <w:szCs w:val="20"/>
              </w:rPr>
            </w:pPr>
          </w:p>
        </w:tc>
      </w:tr>
      <w:tr w:rsidR="00F73496" w14:paraId="4D61366E" w14:textId="77777777" w:rsidTr="00DF32BA">
        <w:trPr>
          <w:trHeight w:val="256"/>
        </w:trPr>
        <w:tc>
          <w:tcPr>
            <w:tcW w:w="704" w:type="dxa"/>
            <w:tcBorders>
              <w:top w:val="nil"/>
              <w:left w:val="nil"/>
              <w:bottom w:val="nil"/>
              <w:right w:val="nil"/>
            </w:tcBorders>
          </w:tcPr>
          <w:p w14:paraId="2C41541F" w14:textId="34A418DD"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20.</w:t>
            </w:r>
          </w:p>
        </w:tc>
        <w:tc>
          <w:tcPr>
            <w:tcW w:w="6946" w:type="dxa"/>
            <w:tcBorders>
              <w:top w:val="nil"/>
              <w:left w:val="nil"/>
              <w:bottom w:val="nil"/>
              <w:right w:val="nil"/>
            </w:tcBorders>
          </w:tcPr>
          <w:p w14:paraId="6145045F" w14:textId="71A30C18" w:rsidR="00F73496" w:rsidRPr="00BB28BD" w:rsidRDefault="00F73496" w:rsidP="00F73496">
            <w:pPr>
              <w:rPr>
                <w:rFonts w:ascii="Arial" w:eastAsia="Times New Roman" w:hAnsi="Arial" w:cs="Arial"/>
                <w:b/>
                <w:color w:val="1F4E79" w:themeColor="accent1" w:themeShade="80"/>
                <w:sz w:val="24"/>
                <w:szCs w:val="24"/>
              </w:rPr>
            </w:pPr>
            <w:r w:rsidRPr="00BB28BD">
              <w:rPr>
                <w:rFonts w:ascii="Arial" w:eastAsia="Times New Roman" w:hAnsi="Arial" w:cs="Arial"/>
                <w:b/>
                <w:color w:val="1F4E79" w:themeColor="accent1" w:themeShade="80"/>
                <w:sz w:val="24"/>
                <w:szCs w:val="24"/>
              </w:rPr>
              <w:t>STUDENT DIGNITY AT STUDY POLICY</w:t>
            </w:r>
          </w:p>
        </w:tc>
        <w:tc>
          <w:tcPr>
            <w:tcW w:w="2806" w:type="dxa"/>
            <w:tcBorders>
              <w:top w:val="nil"/>
              <w:left w:val="nil"/>
              <w:bottom w:val="nil"/>
              <w:right w:val="nil"/>
            </w:tcBorders>
          </w:tcPr>
          <w:p w14:paraId="2FC5ABEC" w14:textId="26657ED0" w:rsidR="00F73496" w:rsidRPr="00BB28BD" w:rsidRDefault="00F73496" w:rsidP="0061277E">
            <w:pPr>
              <w:jc w:val="right"/>
              <w:rPr>
                <w:rFonts w:ascii="Arial" w:hAnsi="Arial" w:cs="Arial"/>
                <w:color w:val="1F4E79" w:themeColor="accent1" w:themeShade="80"/>
                <w:sz w:val="24"/>
                <w:szCs w:val="24"/>
              </w:rPr>
            </w:pPr>
          </w:p>
        </w:tc>
      </w:tr>
      <w:tr w:rsidR="00F73496" w14:paraId="60BF84B4" w14:textId="77777777" w:rsidTr="00DF32BA">
        <w:trPr>
          <w:trHeight w:val="241"/>
        </w:trPr>
        <w:tc>
          <w:tcPr>
            <w:tcW w:w="704" w:type="dxa"/>
            <w:tcBorders>
              <w:top w:val="nil"/>
              <w:left w:val="nil"/>
              <w:bottom w:val="nil"/>
              <w:right w:val="nil"/>
            </w:tcBorders>
          </w:tcPr>
          <w:p w14:paraId="5B546E07" w14:textId="6061A5BC"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20.1</w:t>
            </w:r>
          </w:p>
        </w:tc>
        <w:tc>
          <w:tcPr>
            <w:tcW w:w="6946" w:type="dxa"/>
            <w:tcBorders>
              <w:top w:val="nil"/>
              <w:left w:val="nil"/>
              <w:bottom w:val="nil"/>
              <w:right w:val="nil"/>
            </w:tcBorders>
          </w:tcPr>
          <w:p w14:paraId="510DEEF7" w14:textId="3490CC61" w:rsidR="00F73496" w:rsidRPr="00BB28BD" w:rsidRDefault="004C7EF7" w:rsidP="00F73496">
            <w:pPr>
              <w:rPr>
                <w:rFonts w:ascii="Arial" w:eastAsia="Times New Roman" w:hAnsi="Arial" w:cs="Arial"/>
                <w:bCs/>
                <w:color w:val="1F4E79" w:themeColor="accent1" w:themeShade="80"/>
                <w:sz w:val="24"/>
                <w:szCs w:val="24"/>
              </w:rPr>
            </w:pPr>
            <w:r w:rsidRPr="00BB28BD">
              <w:rPr>
                <w:rFonts w:ascii="Arial" w:eastAsia="Times New Roman" w:hAnsi="Arial" w:cs="Arial"/>
                <w:bCs/>
                <w:color w:val="1F4E79" w:themeColor="accent1" w:themeShade="80"/>
                <w:sz w:val="24"/>
                <w:szCs w:val="24"/>
              </w:rPr>
              <w:t xml:space="preserve">The Committee approved the Student Dignity at Study Policy. The Chair asked Registry to consider how it should link to the Student Charter and expected behaviours and it was noted that it could be included within the student regulations.  </w:t>
            </w:r>
          </w:p>
        </w:tc>
        <w:tc>
          <w:tcPr>
            <w:tcW w:w="2806" w:type="dxa"/>
            <w:tcBorders>
              <w:top w:val="nil"/>
              <w:left w:val="nil"/>
              <w:bottom w:val="nil"/>
              <w:right w:val="nil"/>
            </w:tcBorders>
          </w:tcPr>
          <w:p w14:paraId="1A175167" w14:textId="77777777" w:rsidR="00BB28BD" w:rsidRPr="00BB28BD" w:rsidRDefault="00BB28BD" w:rsidP="00BB28BD">
            <w:pPr>
              <w:jc w:val="right"/>
              <w:rPr>
                <w:rFonts w:ascii="Arial" w:eastAsia="Times New Roman" w:hAnsi="Arial" w:cs="Arial"/>
                <w:bCs/>
                <w:color w:val="1F4E79" w:themeColor="accent1" w:themeShade="80"/>
                <w:sz w:val="24"/>
                <w:szCs w:val="24"/>
              </w:rPr>
            </w:pPr>
            <w:r w:rsidRPr="00BB28BD">
              <w:rPr>
                <w:rFonts w:ascii="Arial" w:hAnsi="Arial" w:cs="Arial"/>
                <w:color w:val="1F4E79" w:themeColor="accent1" w:themeShade="80"/>
                <w:sz w:val="24"/>
                <w:szCs w:val="24"/>
              </w:rPr>
              <w:t>UTLC_2022_05_18_P20.1</w:t>
            </w:r>
          </w:p>
          <w:p w14:paraId="1E954D34" w14:textId="7386EBF7" w:rsidR="00F73496" w:rsidRPr="00BB28BD" w:rsidRDefault="00F73496" w:rsidP="00F73496">
            <w:pPr>
              <w:rPr>
                <w:rFonts w:ascii="Arial" w:hAnsi="Arial" w:cs="Arial"/>
                <w:color w:val="1F4E79" w:themeColor="accent1" w:themeShade="80"/>
                <w:sz w:val="24"/>
                <w:szCs w:val="24"/>
              </w:rPr>
            </w:pPr>
          </w:p>
        </w:tc>
      </w:tr>
      <w:tr w:rsidR="00F73496" w14:paraId="0C46E13F" w14:textId="77777777" w:rsidTr="00DF32BA">
        <w:trPr>
          <w:trHeight w:val="256"/>
        </w:trPr>
        <w:tc>
          <w:tcPr>
            <w:tcW w:w="704" w:type="dxa"/>
            <w:tcBorders>
              <w:top w:val="nil"/>
              <w:left w:val="nil"/>
              <w:bottom w:val="nil"/>
              <w:right w:val="nil"/>
            </w:tcBorders>
          </w:tcPr>
          <w:p w14:paraId="10A55EC8"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3331D25C" w14:textId="77777777" w:rsidR="00F73496" w:rsidRPr="00CF0F03" w:rsidRDefault="00F73496" w:rsidP="00F73496">
            <w:pPr>
              <w:rPr>
                <w:rFonts w:ascii="Arial" w:eastAsia="Times New Roman" w:hAnsi="Arial" w:cs="Arial"/>
                <w:b/>
              </w:rPr>
            </w:pPr>
          </w:p>
        </w:tc>
        <w:tc>
          <w:tcPr>
            <w:tcW w:w="2806" w:type="dxa"/>
            <w:tcBorders>
              <w:top w:val="nil"/>
              <w:left w:val="nil"/>
              <w:bottom w:val="nil"/>
              <w:right w:val="nil"/>
            </w:tcBorders>
          </w:tcPr>
          <w:p w14:paraId="195FD3A3" w14:textId="77777777" w:rsidR="00F73496" w:rsidRPr="003F50C0" w:rsidRDefault="00F73496" w:rsidP="00F73496">
            <w:pPr>
              <w:rPr>
                <w:rFonts w:ascii="Arial" w:hAnsi="Arial" w:cs="Arial"/>
                <w:sz w:val="20"/>
                <w:szCs w:val="20"/>
              </w:rPr>
            </w:pPr>
          </w:p>
        </w:tc>
      </w:tr>
      <w:tr w:rsidR="00F73496" w14:paraId="40206477" w14:textId="77777777" w:rsidTr="00DF32BA">
        <w:trPr>
          <w:trHeight w:val="256"/>
        </w:trPr>
        <w:tc>
          <w:tcPr>
            <w:tcW w:w="704" w:type="dxa"/>
            <w:tcBorders>
              <w:top w:val="nil"/>
              <w:left w:val="nil"/>
              <w:bottom w:val="nil"/>
              <w:right w:val="nil"/>
            </w:tcBorders>
          </w:tcPr>
          <w:p w14:paraId="06AC6BEE" w14:textId="27D0366E"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21.</w:t>
            </w:r>
          </w:p>
        </w:tc>
        <w:tc>
          <w:tcPr>
            <w:tcW w:w="6946" w:type="dxa"/>
            <w:tcBorders>
              <w:top w:val="nil"/>
              <w:left w:val="nil"/>
              <w:bottom w:val="nil"/>
              <w:right w:val="nil"/>
            </w:tcBorders>
          </w:tcPr>
          <w:p w14:paraId="1FB5354C" w14:textId="77777777"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REPORT FROM THE STUDENTS’ UNION</w:t>
            </w:r>
          </w:p>
        </w:tc>
        <w:tc>
          <w:tcPr>
            <w:tcW w:w="2806" w:type="dxa"/>
            <w:tcBorders>
              <w:top w:val="nil"/>
              <w:left w:val="nil"/>
              <w:bottom w:val="nil"/>
              <w:right w:val="nil"/>
            </w:tcBorders>
          </w:tcPr>
          <w:p w14:paraId="05CA620E" w14:textId="626E7AB8" w:rsidR="00F73496" w:rsidRPr="00BB28BD" w:rsidRDefault="00F73496" w:rsidP="00F73496">
            <w:pPr>
              <w:jc w:val="right"/>
              <w:rPr>
                <w:rFonts w:ascii="Arial" w:hAnsi="Arial" w:cs="Arial"/>
                <w:color w:val="1F4E79" w:themeColor="accent1" w:themeShade="80"/>
                <w:sz w:val="24"/>
                <w:szCs w:val="24"/>
              </w:rPr>
            </w:pPr>
          </w:p>
        </w:tc>
      </w:tr>
      <w:tr w:rsidR="00F73496" w14:paraId="64746BED" w14:textId="77777777" w:rsidTr="00DF32BA">
        <w:trPr>
          <w:trHeight w:val="256"/>
        </w:trPr>
        <w:tc>
          <w:tcPr>
            <w:tcW w:w="704" w:type="dxa"/>
            <w:tcBorders>
              <w:top w:val="nil"/>
              <w:left w:val="nil"/>
              <w:bottom w:val="nil"/>
              <w:right w:val="nil"/>
            </w:tcBorders>
          </w:tcPr>
          <w:p w14:paraId="35BAF79B" w14:textId="2D262EFB"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21.1</w:t>
            </w:r>
          </w:p>
        </w:tc>
        <w:tc>
          <w:tcPr>
            <w:tcW w:w="6946" w:type="dxa"/>
            <w:tcBorders>
              <w:top w:val="nil"/>
              <w:left w:val="nil"/>
              <w:bottom w:val="nil"/>
              <w:right w:val="nil"/>
            </w:tcBorders>
          </w:tcPr>
          <w:p w14:paraId="36276426" w14:textId="77777777" w:rsidR="00F73496" w:rsidRPr="00BB28BD" w:rsidRDefault="00F73496" w:rsidP="00F73496">
            <w:pPr>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To receive a verbal report (SU Education Officer)</w:t>
            </w:r>
          </w:p>
          <w:p w14:paraId="60B9CEFF" w14:textId="4AADF9B5" w:rsidR="006A157E" w:rsidRPr="00BB28BD" w:rsidRDefault="006A157E" w:rsidP="00F73496">
            <w:pPr>
              <w:rPr>
                <w:rFonts w:ascii="Arial" w:hAnsi="Arial" w:cs="Arial"/>
                <w:b/>
                <w:color w:val="1F4E79" w:themeColor="accent1" w:themeShade="80"/>
                <w:sz w:val="24"/>
                <w:szCs w:val="24"/>
              </w:rPr>
            </w:pPr>
            <w:r w:rsidRPr="00BB28BD">
              <w:rPr>
                <w:rFonts w:ascii="Arial" w:hAnsi="Arial" w:cs="Arial"/>
                <w:color w:val="1F4E79" w:themeColor="accent1" w:themeShade="80"/>
                <w:sz w:val="24"/>
                <w:szCs w:val="24"/>
              </w:rPr>
              <w:t xml:space="preserve">None to note. </w:t>
            </w:r>
          </w:p>
        </w:tc>
        <w:tc>
          <w:tcPr>
            <w:tcW w:w="2806" w:type="dxa"/>
            <w:tcBorders>
              <w:top w:val="nil"/>
              <w:left w:val="nil"/>
              <w:bottom w:val="nil"/>
              <w:right w:val="nil"/>
            </w:tcBorders>
          </w:tcPr>
          <w:p w14:paraId="5346F6BC" w14:textId="77777777" w:rsidR="00F73496" w:rsidRPr="00BB28BD" w:rsidRDefault="00F73496" w:rsidP="00F73496">
            <w:pPr>
              <w:jc w:val="right"/>
              <w:rPr>
                <w:rFonts w:ascii="Arial" w:hAnsi="Arial" w:cs="Arial"/>
                <w:color w:val="1F4E79" w:themeColor="accent1" w:themeShade="80"/>
                <w:sz w:val="24"/>
                <w:szCs w:val="24"/>
              </w:rPr>
            </w:pPr>
          </w:p>
        </w:tc>
      </w:tr>
      <w:tr w:rsidR="00F73496" w14:paraId="06DBA2A7" w14:textId="77777777" w:rsidTr="00DF32BA">
        <w:trPr>
          <w:trHeight w:val="768"/>
        </w:trPr>
        <w:tc>
          <w:tcPr>
            <w:tcW w:w="704" w:type="dxa"/>
            <w:tcBorders>
              <w:top w:val="nil"/>
              <w:left w:val="nil"/>
              <w:bottom w:val="nil"/>
              <w:right w:val="nil"/>
            </w:tcBorders>
          </w:tcPr>
          <w:p w14:paraId="615D56EF" w14:textId="7232194E" w:rsidR="00F73496" w:rsidRPr="00BB28BD" w:rsidRDefault="00F73496" w:rsidP="00F73496">
            <w:pPr>
              <w:rPr>
                <w:rFonts w:ascii="Arial" w:hAnsi="Arial" w:cs="Arial"/>
                <w:b/>
                <w:color w:val="1F4E79" w:themeColor="accent1" w:themeShade="80"/>
                <w:sz w:val="24"/>
                <w:szCs w:val="24"/>
              </w:rPr>
            </w:pPr>
            <w:r w:rsidRPr="00BB28BD">
              <w:rPr>
                <w:rFonts w:ascii="Arial" w:hAnsi="Arial" w:cs="Arial"/>
                <w:b/>
                <w:color w:val="1F4E79" w:themeColor="accent1" w:themeShade="80"/>
                <w:sz w:val="24"/>
                <w:szCs w:val="24"/>
              </w:rPr>
              <w:t>21.2</w:t>
            </w:r>
          </w:p>
        </w:tc>
        <w:tc>
          <w:tcPr>
            <w:tcW w:w="6946" w:type="dxa"/>
            <w:tcBorders>
              <w:top w:val="nil"/>
              <w:left w:val="nil"/>
              <w:bottom w:val="nil"/>
              <w:right w:val="nil"/>
            </w:tcBorders>
          </w:tcPr>
          <w:p w14:paraId="54DD07FB" w14:textId="449C4D85" w:rsidR="00F73496" w:rsidRPr="00BB28BD" w:rsidRDefault="005E3A87" w:rsidP="005E3A87">
            <w:pPr>
              <w:rPr>
                <w:rFonts w:ascii="Arial" w:hAnsi="Arial" w:cs="Arial"/>
                <w:color w:val="1F4E79" w:themeColor="accent1" w:themeShade="80"/>
                <w:sz w:val="24"/>
                <w:szCs w:val="24"/>
              </w:rPr>
            </w:pPr>
            <w:r w:rsidRPr="00BB28BD">
              <w:rPr>
                <w:rFonts w:ascii="Arial" w:hAnsi="Arial" w:cs="Arial"/>
                <w:bCs/>
                <w:color w:val="1F4E79" w:themeColor="accent1" w:themeShade="80"/>
                <w:sz w:val="24"/>
                <w:szCs w:val="24"/>
              </w:rPr>
              <w:t xml:space="preserve">The Committee received an update on the work undertaken on the Student Voice project whereby the SU intend to </w:t>
            </w:r>
            <w:r w:rsidR="00F73496" w:rsidRPr="00BB28BD">
              <w:rPr>
                <w:rFonts w:ascii="Arial" w:hAnsi="Arial" w:cs="Arial"/>
                <w:color w:val="1F4E79" w:themeColor="accent1" w:themeShade="80"/>
                <w:sz w:val="24"/>
                <w:szCs w:val="24"/>
              </w:rPr>
              <w:t>trial an alternative student voice/representation system in several departments of the University in the academic year 2022/23.</w:t>
            </w:r>
            <w:r w:rsidRPr="00BB28BD">
              <w:rPr>
                <w:rFonts w:ascii="Arial" w:hAnsi="Arial" w:cs="Arial"/>
                <w:color w:val="1F4E79" w:themeColor="accent1" w:themeShade="80"/>
                <w:sz w:val="24"/>
                <w:szCs w:val="24"/>
              </w:rPr>
              <w:t xml:space="preserve"> It was noted that there is a recurring problem whereby feedback drops throughout the academic year therefore the project will focus on using Teams. HHS Psychology, Engineering in CE and the BS nominated themselves to take part in the trail and the SU will contact them to begin the tr</w:t>
            </w:r>
            <w:r w:rsidR="00014EE0" w:rsidRPr="00BB28BD">
              <w:rPr>
                <w:rFonts w:ascii="Arial" w:hAnsi="Arial" w:cs="Arial"/>
                <w:color w:val="1F4E79" w:themeColor="accent1" w:themeShade="80"/>
                <w:sz w:val="24"/>
                <w:szCs w:val="24"/>
              </w:rPr>
              <w:t>i</w:t>
            </w:r>
            <w:r w:rsidRPr="00BB28BD">
              <w:rPr>
                <w:rFonts w:ascii="Arial" w:hAnsi="Arial" w:cs="Arial"/>
                <w:color w:val="1F4E79" w:themeColor="accent1" w:themeShade="80"/>
                <w:sz w:val="24"/>
                <w:szCs w:val="24"/>
              </w:rPr>
              <w:t xml:space="preserve">al. </w:t>
            </w:r>
          </w:p>
        </w:tc>
        <w:tc>
          <w:tcPr>
            <w:tcW w:w="2806" w:type="dxa"/>
            <w:tcBorders>
              <w:top w:val="nil"/>
              <w:left w:val="nil"/>
              <w:bottom w:val="nil"/>
              <w:right w:val="nil"/>
            </w:tcBorders>
          </w:tcPr>
          <w:p w14:paraId="07E1B0AE" w14:textId="77777777" w:rsidR="00BB28BD" w:rsidRPr="00BB28BD" w:rsidRDefault="00BB28BD" w:rsidP="00BB28BD">
            <w:pPr>
              <w:jc w:val="right"/>
              <w:rPr>
                <w:rFonts w:ascii="Arial" w:hAnsi="Arial" w:cs="Arial"/>
                <w:b/>
                <w:bCs/>
                <w:color w:val="1F4E79" w:themeColor="accent1" w:themeShade="80"/>
                <w:sz w:val="24"/>
                <w:szCs w:val="24"/>
              </w:rPr>
            </w:pPr>
            <w:r w:rsidRPr="00BB28BD">
              <w:rPr>
                <w:rFonts w:ascii="Arial" w:hAnsi="Arial" w:cs="Arial"/>
                <w:color w:val="1F4E79" w:themeColor="accent1" w:themeShade="80"/>
                <w:sz w:val="24"/>
                <w:szCs w:val="24"/>
              </w:rPr>
              <w:t>UTLC_2022_05_18_P21.2</w:t>
            </w:r>
          </w:p>
          <w:p w14:paraId="33E8F1B8" w14:textId="4532C2FB" w:rsidR="00F73496" w:rsidRPr="00BB28BD" w:rsidRDefault="005E3A87" w:rsidP="00BB28BD">
            <w:pPr>
              <w:jc w:val="right"/>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Students’ Union</w:t>
            </w:r>
          </w:p>
          <w:p w14:paraId="014F5D08" w14:textId="7BB82494" w:rsidR="005E3A87" w:rsidRPr="00BB28BD" w:rsidRDefault="005E3A87" w:rsidP="00BB28BD">
            <w:pPr>
              <w:jc w:val="right"/>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 xml:space="preserve">CE (Engineering) </w:t>
            </w:r>
          </w:p>
          <w:p w14:paraId="2ACDF2D9" w14:textId="4A57C66C" w:rsidR="005E3A87" w:rsidRPr="00BB28BD" w:rsidRDefault="005E3A87" w:rsidP="00BB28BD">
            <w:pPr>
              <w:jc w:val="right"/>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BS</w:t>
            </w:r>
          </w:p>
          <w:p w14:paraId="246403D0" w14:textId="3E8EA895" w:rsidR="005E3A87" w:rsidRPr="00BB28BD" w:rsidRDefault="005E3A87" w:rsidP="00BB28BD">
            <w:pPr>
              <w:jc w:val="right"/>
              <w:rPr>
                <w:rFonts w:ascii="Arial" w:hAnsi="Arial" w:cs="Arial"/>
                <w:color w:val="1F4E79" w:themeColor="accent1" w:themeShade="80"/>
                <w:sz w:val="24"/>
                <w:szCs w:val="24"/>
              </w:rPr>
            </w:pPr>
            <w:r w:rsidRPr="00BB28BD">
              <w:rPr>
                <w:rFonts w:ascii="Arial" w:hAnsi="Arial" w:cs="Arial"/>
                <w:color w:val="1F4E79" w:themeColor="accent1" w:themeShade="80"/>
                <w:sz w:val="24"/>
                <w:szCs w:val="24"/>
              </w:rPr>
              <w:t>HHS (Psychology)</w:t>
            </w:r>
          </w:p>
          <w:p w14:paraId="3E881D5F" w14:textId="52DE4424" w:rsidR="005E3A87" w:rsidRPr="00BB28BD" w:rsidRDefault="005E3A87" w:rsidP="00F73496">
            <w:pPr>
              <w:jc w:val="right"/>
              <w:rPr>
                <w:rFonts w:ascii="Arial" w:hAnsi="Arial" w:cs="Arial"/>
                <w:color w:val="1F4E79" w:themeColor="accent1" w:themeShade="80"/>
                <w:sz w:val="24"/>
                <w:szCs w:val="24"/>
              </w:rPr>
            </w:pPr>
          </w:p>
        </w:tc>
      </w:tr>
      <w:tr w:rsidR="00F73496" w14:paraId="42A3A169" w14:textId="77777777" w:rsidTr="00DF32BA">
        <w:trPr>
          <w:trHeight w:val="241"/>
        </w:trPr>
        <w:tc>
          <w:tcPr>
            <w:tcW w:w="704" w:type="dxa"/>
            <w:tcBorders>
              <w:top w:val="nil"/>
              <w:left w:val="nil"/>
              <w:bottom w:val="nil"/>
              <w:right w:val="nil"/>
            </w:tcBorders>
          </w:tcPr>
          <w:p w14:paraId="32FB8BAE"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772A4FB9" w14:textId="77777777" w:rsidR="00F73496" w:rsidRPr="0056708F" w:rsidRDefault="00F73496" w:rsidP="00F73496">
            <w:pPr>
              <w:keepLines/>
              <w:widowControl w:val="0"/>
              <w:rPr>
                <w:rFonts w:ascii="Arial" w:hAnsi="Arial" w:cs="Arial"/>
                <w:color w:val="000000" w:themeColor="text1"/>
              </w:rPr>
            </w:pPr>
          </w:p>
        </w:tc>
        <w:tc>
          <w:tcPr>
            <w:tcW w:w="2806" w:type="dxa"/>
            <w:tcBorders>
              <w:top w:val="nil"/>
              <w:left w:val="nil"/>
              <w:bottom w:val="nil"/>
              <w:right w:val="nil"/>
            </w:tcBorders>
          </w:tcPr>
          <w:p w14:paraId="2D417148" w14:textId="77777777" w:rsidR="00F73496" w:rsidRPr="00E10574" w:rsidRDefault="00F73496" w:rsidP="00F73496">
            <w:pPr>
              <w:jc w:val="right"/>
              <w:rPr>
                <w:rFonts w:ascii="Arial" w:hAnsi="Arial" w:cs="Arial"/>
                <w:sz w:val="20"/>
                <w:szCs w:val="20"/>
              </w:rPr>
            </w:pPr>
          </w:p>
        </w:tc>
      </w:tr>
      <w:tr w:rsidR="00F73496" w14:paraId="7211BED4" w14:textId="77777777" w:rsidTr="00DE22B0">
        <w:trPr>
          <w:trHeight w:val="359"/>
        </w:trPr>
        <w:tc>
          <w:tcPr>
            <w:tcW w:w="10456" w:type="dxa"/>
            <w:gridSpan w:val="3"/>
            <w:tcBorders>
              <w:top w:val="nil"/>
              <w:bottom w:val="nil"/>
            </w:tcBorders>
            <w:shd w:val="clear" w:color="auto" w:fill="1F4E79" w:themeFill="accent1" w:themeFillShade="80"/>
          </w:tcPr>
          <w:p w14:paraId="1A741336" w14:textId="77777777" w:rsidR="00F73496" w:rsidRPr="00A36E75" w:rsidRDefault="00F73496" w:rsidP="00F73496">
            <w:pPr>
              <w:rPr>
                <w:rFonts w:ascii="Arial" w:hAnsi="Arial" w:cs="Arial"/>
                <w:b/>
                <w:color w:val="FFFFFF" w:themeColor="background1"/>
                <w:sz w:val="24"/>
                <w:szCs w:val="24"/>
              </w:rPr>
            </w:pPr>
            <w:r w:rsidRPr="00A36E75">
              <w:rPr>
                <w:rFonts w:ascii="Arial" w:hAnsi="Arial" w:cs="Arial"/>
                <w:b/>
                <w:color w:val="FFFFFF" w:themeColor="background1"/>
                <w:sz w:val="24"/>
                <w:szCs w:val="24"/>
              </w:rPr>
              <w:t>TO NOTE:</w:t>
            </w:r>
          </w:p>
        </w:tc>
      </w:tr>
      <w:tr w:rsidR="00F73496" w14:paraId="553D6105" w14:textId="77777777" w:rsidTr="00DF32BA">
        <w:trPr>
          <w:trHeight w:val="256"/>
        </w:trPr>
        <w:tc>
          <w:tcPr>
            <w:tcW w:w="704" w:type="dxa"/>
            <w:tcBorders>
              <w:top w:val="nil"/>
              <w:left w:val="nil"/>
              <w:bottom w:val="nil"/>
              <w:right w:val="nil"/>
            </w:tcBorders>
          </w:tcPr>
          <w:p w14:paraId="2DD2BE68" w14:textId="77777777" w:rsidR="00F73496" w:rsidRPr="00A36E75" w:rsidRDefault="00F73496" w:rsidP="00F73496">
            <w:pPr>
              <w:rPr>
                <w:rFonts w:ascii="Arial" w:hAnsi="Arial" w:cs="Arial"/>
                <w:b/>
                <w:color w:val="1F4E79" w:themeColor="accent1" w:themeShade="80"/>
                <w:sz w:val="24"/>
                <w:szCs w:val="24"/>
              </w:rPr>
            </w:pPr>
          </w:p>
        </w:tc>
        <w:tc>
          <w:tcPr>
            <w:tcW w:w="6946" w:type="dxa"/>
            <w:tcBorders>
              <w:top w:val="nil"/>
              <w:left w:val="nil"/>
              <w:bottom w:val="nil"/>
              <w:right w:val="nil"/>
            </w:tcBorders>
          </w:tcPr>
          <w:p w14:paraId="08DF6B22" w14:textId="77777777" w:rsidR="00F73496" w:rsidRPr="00A36E75" w:rsidRDefault="00F73496" w:rsidP="00F73496">
            <w:pPr>
              <w:rPr>
                <w:rFonts w:ascii="Arial" w:hAnsi="Arial" w:cs="Arial"/>
                <w:b/>
                <w:sz w:val="24"/>
                <w:szCs w:val="24"/>
              </w:rPr>
            </w:pPr>
          </w:p>
        </w:tc>
        <w:tc>
          <w:tcPr>
            <w:tcW w:w="2806" w:type="dxa"/>
            <w:tcBorders>
              <w:top w:val="nil"/>
              <w:left w:val="nil"/>
              <w:bottom w:val="nil"/>
              <w:right w:val="nil"/>
            </w:tcBorders>
          </w:tcPr>
          <w:p w14:paraId="7E1DB889" w14:textId="77777777" w:rsidR="00F73496" w:rsidRPr="00E10574" w:rsidRDefault="00F73496" w:rsidP="00F73496">
            <w:pPr>
              <w:jc w:val="right"/>
              <w:rPr>
                <w:rFonts w:ascii="Arial" w:hAnsi="Arial" w:cs="Arial"/>
                <w:sz w:val="20"/>
                <w:szCs w:val="20"/>
              </w:rPr>
            </w:pPr>
          </w:p>
        </w:tc>
      </w:tr>
      <w:tr w:rsidR="00F73496" w14:paraId="1CC4EF5B" w14:textId="77777777" w:rsidTr="00DF32BA">
        <w:trPr>
          <w:trHeight w:val="256"/>
        </w:trPr>
        <w:tc>
          <w:tcPr>
            <w:tcW w:w="704" w:type="dxa"/>
            <w:tcBorders>
              <w:top w:val="nil"/>
              <w:left w:val="nil"/>
              <w:bottom w:val="nil"/>
              <w:right w:val="nil"/>
            </w:tcBorders>
          </w:tcPr>
          <w:p w14:paraId="2EBFE365" w14:textId="506EB7B0" w:rsidR="00F73496" w:rsidRPr="00A36E75" w:rsidRDefault="00F73496" w:rsidP="00F73496">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t>22.</w:t>
            </w:r>
          </w:p>
        </w:tc>
        <w:tc>
          <w:tcPr>
            <w:tcW w:w="6946" w:type="dxa"/>
            <w:tcBorders>
              <w:top w:val="nil"/>
              <w:left w:val="nil"/>
              <w:bottom w:val="nil"/>
              <w:right w:val="nil"/>
            </w:tcBorders>
          </w:tcPr>
          <w:p w14:paraId="128366B9" w14:textId="77777777" w:rsidR="00F73496" w:rsidRPr="00A36E75" w:rsidRDefault="00F73496" w:rsidP="00F73496">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t>CHAIRS ACTIONS SINCE LAST MEETING</w:t>
            </w:r>
          </w:p>
        </w:tc>
        <w:tc>
          <w:tcPr>
            <w:tcW w:w="2806" w:type="dxa"/>
            <w:tcBorders>
              <w:top w:val="nil"/>
              <w:left w:val="nil"/>
              <w:bottom w:val="nil"/>
              <w:right w:val="nil"/>
            </w:tcBorders>
          </w:tcPr>
          <w:p w14:paraId="56087031" w14:textId="77777777" w:rsidR="00F73496" w:rsidRPr="00E10574" w:rsidRDefault="00F73496" w:rsidP="00F73496">
            <w:pPr>
              <w:jc w:val="right"/>
              <w:rPr>
                <w:rFonts w:ascii="Arial" w:hAnsi="Arial" w:cs="Arial"/>
                <w:sz w:val="20"/>
                <w:szCs w:val="20"/>
              </w:rPr>
            </w:pPr>
          </w:p>
        </w:tc>
      </w:tr>
      <w:tr w:rsidR="00F73496" w14:paraId="7753761D" w14:textId="77777777" w:rsidTr="00DF32BA">
        <w:trPr>
          <w:trHeight w:val="768"/>
        </w:trPr>
        <w:tc>
          <w:tcPr>
            <w:tcW w:w="704" w:type="dxa"/>
            <w:tcBorders>
              <w:top w:val="nil"/>
              <w:left w:val="nil"/>
              <w:bottom w:val="nil"/>
              <w:right w:val="nil"/>
            </w:tcBorders>
          </w:tcPr>
          <w:p w14:paraId="4A1F2A95" w14:textId="46C3BF63" w:rsidR="00F73496" w:rsidRPr="00A36E75" w:rsidRDefault="00F73496" w:rsidP="00F73496">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lastRenderedPageBreak/>
              <w:t>22.1</w:t>
            </w:r>
          </w:p>
        </w:tc>
        <w:tc>
          <w:tcPr>
            <w:tcW w:w="6946" w:type="dxa"/>
            <w:tcBorders>
              <w:top w:val="nil"/>
              <w:left w:val="nil"/>
              <w:bottom w:val="nil"/>
              <w:right w:val="nil"/>
            </w:tcBorders>
          </w:tcPr>
          <w:p w14:paraId="023FBA37" w14:textId="77777777" w:rsidR="00F73496" w:rsidRPr="00A36E75" w:rsidRDefault="00F73496" w:rsidP="00F73496">
            <w:pPr>
              <w:rPr>
                <w:rFonts w:ascii="Arial" w:hAnsi="Arial" w:cs="Arial"/>
                <w:color w:val="1F4E79" w:themeColor="accent1" w:themeShade="80"/>
                <w:sz w:val="24"/>
                <w:szCs w:val="24"/>
              </w:rPr>
            </w:pPr>
            <w:r w:rsidRPr="00A36E75">
              <w:rPr>
                <w:rFonts w:ascii="Arial" w:hAnsi="Arial" w:cs="Arial"/>
                <w:color w:val="1F4E79" w:themeColor="accent1" w:themeShade="80"/>
                <w:sz w:val="24"/>
                <w:szCs w:val="24"/>
              </w:rPr>
              <w:t>To note:</w:t>
            </w:r>
          </w:p>
          <w:p w14:paraId="28B17CA2" w14:textId="6A8F3300" w:rsidR="00F73496" w:rsidRPr="00A36E75" w:rsidRDefault="00F73496" w:rsidP="00F73496">
            <w:pPr>
              <w:rPr>
                <w:rFonts w:ascii="Arial" w:hAnsi="Arial" w:cs="Arial"/>
                <w:color w:val="1F4E79" w:themeColor="accent1" w:themeShade="80"/>
                <w:sz w:val="24"/>
                <w:szCs w:val="24"/>
              </w:rPr>
            </w:pPr>
            <w:r w:rsidRPr="00A36E75">
              <w:rPr>
                <w:rFonts w:ascii="Arial" w:hAnsi="Arial" w:cs="Arial"/>
                <w:color w:val="1F4E79" w:themeColor="accent1" w:themeShade="80"/>
                <w:sz w:val="24"/>
                <w:szCs w:val="24"/>
              </w:rPr>
              <w:t>Alistair Sambell in Jane</w:t>
            </w:r>
            <w:r w:rsidR="00BC0BEA" w:rsidRPr="00A36E75">
              <w:rPr>
                <w:rFonts w:ascii="Arial" w:hAnsi="Arial" w:cs="Arial"/>
                <w:color w:val="1F4E79" w:themeColor="accent1" w:themeShade="80"/>
                <w:sz w:val="24"/>
                <w:szCs w:val="24"/>
              </w:rPr>
              <w:t>’</w:t>
            </w:r>
            <w:r w:rsidRPr="00A36E75">
              <w:rPr>
                <w:rFonts w:ascii="Arial" w:hAnsi="Arial" w:cs="Arial"/>
                <w:color w:val="1F4E79" w:themeColor="accent1" w:themeShade="80"/>
                <w:sz w:val="24"/>
                <w:szCs w:val="24"/>
              </w:rPr>
              <w:t>s absence, confirmed the Emergency Regulations</w:t>
            </w:r>
            <w:r w:rsidR="00BC0BEA" w:rsidRPr="00A36E75">
              <w:rPr>
                <w:rFonts w:ascii="Arial" w:hAnsi="Arial" w:cs="Arial"/>
                <w:color w:val="1F4E79" w:themeColor="accent1" w:themeShade="80"/>
                <w:sz w:val="24"/>
                <w:szCs w:val="24"/>
              </w:rPr>
              <w:t xml:space="preserve"> would apply</w:t>
            </w:r>
            <w:r w:rsidRPr="00A36E75">
              <w:rPr>
                <w:rFonts w:ascii="Arial" w:hAnsi="Arial" w:cs="Arial"/>
                <w:color w:val="1F4E79" w:themeColor="accent1" w:themeShade="80"/>
                <w:sz w:val="24"/>
                <w:szCs w:val="24"/>
              </w:rPr>
              <w:t xml:space="preserve"> to SBC for this year, S8 from Regulations for Awards</w:t>
            </w:r>
          </w:p>
        </w:tc>
        <w:tc>
          <w:tcPr>
            <w:tcW w:w="2806" w:type="dxa"/>
            <w:tcBorders>
              <w:top w:val="nil"/>
              <w:left w:val="nil"/>
              <w:bottom w:val="nil"/>
              <w:right w:val="nil"/>
            </w:tcBorders>
          </w:tcPr>
          <w:p w14:paraId="3C0718E9" w14:textId="275BAAD7" w:rsidR="00F73496" w:rsidRPr="00A36E75" w:rsidRDefault="00F73496" w:rsidP="00F73496">
            <w:pPr>
              <w:jc w:val="right"/>
              <w:rPr>
                <w:rFonts w:ascii="Arial" w:hAnsi="Arial" w:cs="Arial"/>
                <w:color w:val="1F4E79" w:themeColor="accent1" w:themeShade="80"/>
                <w:sz w:val="24"/>
                <w:szCs w:val="24"/>
              </w:rPr>
            </w:pPr>
          </w:p>
        </w:tc>
      </w:tr>
      <w:tr w:rsidR="00F73496" w14:paraId="4AF1BB75" w14:textId="77777777" w:rsidTr="00DF32BA">
        <w:trPr>
          <w:trHeight w:val="256"/>
        </w:trPr>
        <w:tc>
          <w:tcPr>
            <w:tcW w:w="704" w:type="dxa"/>
            <w:tcBorders>
              <w:top w:val="nil"/>
              <w:left w:val="nil"/>
              <w:bottom w:val="nil"/>
              <w:right w:val="nil"/>
            </w:tcBorders>
          </w:tcPr>
          <w:p w14:paraId="57E71DB6" w14:textId="77777777" w:rsidR="00F73496" w:rsidRDefault="00F73496" w:rsidP="00F73496">
            <w:pPr>
              <w:rPr>
                <w:rFonts w:ascii="Arial" w:hAnsi="Arial" w:cs="Arial"/>
                <w:b/>
                <w:color w:val="1F4E79" w:themeColor="accent1" w:themeShade="80"/>
              </w:rPr>
            </w:pPr>
          </w:p>
        </w:tc>
        <w:tc>
          <w:tcPr>
            <w:tcW w:w="6946" w:type="dxa"/>
            <w:tcBorders>
              <w:top w:val="nil"/>
              <w:left w:val="nil"/>
              <w:bottom w:val="nil"/>
              <w:right w:val="nil"/>
            </w:tcBorders>
          </w:tcPr>
          <w:p w14:paraId="586BAD9A" w14:textId="77777777" w:rsidR="00F73496" w:rsidRDefault="00F73496" w:rsidP="00F73496">
            <w:pPr>
              <w:rPr>
                <w:rFonts w:ascii="Arial" w:hAnsi="Arial" w:cs="Arial"/>
                <w:b/>
              </w:rPr>
            </w:pPr>
          </w:p>
        </w:tc>
        <w:tc>
          <w:tcPr>
            <w:tcW w:w="2806" w:type="dxa"/>
            <w:tcBorders>
              <w:top w:val="nil"/>
              <w:left w:val="nil"/>
              <w:bottom w:val="nil"/>
              <w:right w:val="nil"/>
            </w:tcBorders>
          </w:tcPr>
          <w:p w14:paraId="35EFC8A9" w14:textId="77777777" w:rsidR="00F73496" w:rsidRPr="00E10574" w:rsidRDefault="00F73496" w:rsidP="00F73496">
            <w:pPr>
              <w:jc w:val="right"/>
              <w:rPr>
                <w:rFonts w:ascii="Arial" w:hAnsi="Arial" w:cs="Arial"/>
                <w:sz w:val="20"/>
                <w:szCs w:val="20"/>
              </w:rPr>
            </w:pPr>
          </w:p>
        </w:tc>
      </w:tr>
      <w:tr w:rsidR="00F73496" w14:paraId="19ED21C0" w14:textId="77777777" w:rsidTr="00DF32BA">
        <w:trPr>
          <w:trHeight w:val="241"/>
        </w:trPr>
        <w:tc>
          <w:tcPr>
            <w:tcW w:w="704" w:type="dxa"/>
            <w:tcBorders>
              <w:top w:val="nil"/>
              <w:left w:val="nil"/>
              <w:bottom w:val="nil"/>
              <w:right w:val="nil"/>
            </w:tcBorders>
          </w:tcPr>
          <w:p w14:paraId="36B15CF5" w14:textId="0FD8FDE6" w:rsidR="00F73496" w:rsidRPr="00A36E75" w:rsidRDefault="00F73496" w:rsidP="00F73496">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t>23.</w:t>
            </w:r>
          </w:p>
        </w:tc>
        <w:tc>
          <w:tcPr>
            <w:tcW w:w="6946" w:type="dxa"/>
            <w:tcBorders>
              <w:top w:val="nil"/>
              <w:left w:val="nil"/>
              <w:bottom w:val="nil"/>
              <w:right w:val="nil"/>
            </w:tcBorders>
          </w:tcPr>
          <w:p w14:paraId="4D47FA98" w14:textId="77777777" w:rsidR="00F73496" w:rsidRPr="00A36E75" w:rsidRDefault="00F73496" w:rsidP="00F73496">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t>REPORTS FROM WORKING GROUPS</w:t>
            </w:r>
          </w:p>
        </w:tc>
        <w:tc>
          <w:tcPr>
            <w:tcW w:w="2806" w:type="dxa"/>
            <w:tcBorders>
              <w:top w:val="nil"/>
              <w:left w:val="nil"/>
              <w:bottom w:val="nil"/>
              <w:right w:val="nil"/>
            </w:tcBorders>
          </w:tcPr>
          <w:p w14:paraId="5D658005" w14:textId="77777777" w:rsidR="00F73496" w:rsidRPr="00A36E75" w:rsidRDefault="00F73496" w:rsidP="00F73496">
            <w:pPr>
              <w:jc w:val="right"/>
              <w:rPr>
                <w:rFonts w:ascii="Arial" w:hAnsi="Arial" w:cs="Arial"/>
                <w:color w:val="1F4E79" w:themeColor="accent1" w:themeShade="80"/>
                <w:sz w:val="24"/>
                <w:szCs w:val="24"/>
              </w:rPr>
            </w:pPr>
          </w:p>
        </w:tc>
      </w:tr>
      <w:tr w:rsidR="00E80CB2" w14:paraId="6286F638" w14:textId="77777777" w:rsidTr="00DF32BA">
        <w:trPr>
          <w:trHeight w:val="512"/>
        </w:trPr>
        <w:tc>
          <w:tcPr>
            <w:tcW w:w="704" w:type="dxa"/>
            <w:tcBorders>
              <w:top w:val="nil"/>
              <w:left w:val="nil"/>
              <w:bottom w:val="nil"/>
              <w:right w:val="nil"/>
            </w:tcBorders>
          </w:tcPr>
          <w:p w14:paraId="7F111620" w14:textId="73770AD9" w:rsidR="00E80CB2" w:rsidRPr="00A36E75" w:rsidRDefault="00E80CB2" w:rsidP="00E80CB2">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t>23.1</w:t>
            </w:r>
          </w:p>
        </w:tc>
        <w:tc>
          <w:tcPr>
            <w:tcW w:w="6946" w:type="dxa"/>
            <w:tcBorders>
              <w:top w:val="nil"/>
              <w:left w:val="nil"/>
              <w:bottom w:val="nil"/>
              <w:right w:val="nil"/>
            </w:tcBorders>
          </w:tcPr>
          <w:p w14:paraId="0CEFE19F" w14:textId="0E938C04" w:rsidR="00E80CB2" w:rsidRPr="00A36E75" w:rsidRDefault="00E80CB2" w:rsidP="00E80CB2">
            <w:pPr>
              <w:rPr>
                <w:rFonts w:ascii="Arial" w:hAnsi="Arial" w:cs="Arial"/>
                <w:b/>
                <w:bCs/>
                <w:color w:val="1F4E79" w:themeColor="accent1" w:themeShade="80"/>
                <w:sz w:val="24"/>
                <w:szCs w:val="24"/>
              </w:rPr>
            </w:pPr>
            <w:r w:rsidRPr="00A36E75">
              <w:rPr>
                <w:rFonts w:ascii="Arial" w:hAnsi="Arial" w:cs="Arial"/>
                <w:b/>
                <w:bCs/>
                <w:color w:val="1F4E79" w:themeColor="accent1" w:themeShade="80"/>
                <w:sz w:val="24"/>
                <w:szCs w:val="24"/>
              </w:rPr>
              <w:t>Sexual Harassment and Misconduct</w:t>
            </w:r>
          </w:p>
          <w:p w14:paraId="6A6F8CAD" w14:textId="063F46BF" w:rsidR="00BC0BEA" w:rsidRPr="00A36E75" w:rsidRDefault="00BC0BEA" w:rsidP="00E80CB2">
            <w:pPr>
              <w:rPr>
                <w:rFonts w:ascii="Arial" w:hAnsi="Arial" w:cs="Arial"/>
                <w:color w:val="1F4E79" w:themeColor="accent1" w:themeShade="80"/>
                <w:sz w:val="24"/>
                <w:szCs w:val="24"/>
              </w:rPr>
            </w:pPr>
            <w:r w:rsidRPr="00A36E75">
              <w:rPr>
                <w:rFonts w:ascii="Arial" w:hAnsi="Arial" w:cs="Arial"/>
                <w:color w:val="1F4E79" w:themeColor="accent1" w:themeShade="80"/>
                <w:sz w:val="24"/>
                <w:szCs w:val="24"/>
              </w:rPr>
              <w:t xml:space="preserve">It was noted that the working group would </w:t>
            </w:r>
            <w:r w:rsidR="00251B7F" w:rsidRPr="00A36E75">
              <w:rPr>
                <w:rFonts w:ascii="Arial" w:hAnsi="Arial" w:cs="Arial"/>
                <w:color w:val="1F4E79" w:themeColor="accent1" w:themeShade="80"/>
                <w:sz w:val="24"/>
                <w:szCs w:val="24"/>
              </w:rPr>
              <w:t xml:space="preserve">review in six months’ time and report back to UTLC. </w:t>
            </w:r>
          </w:p>
          <w:p w14:paraId="4D8AB7FE" w14:textId="4DE41825" w:rsidR="00E80CB2" w:rsidRPr="00A36E75" w:rsidRDefault="00E80CB2" w:rsidP="00E80CB2">
            <w:pPr>
              <w:rPr>
                <w:rFonts w:ascii="Arial" w:hAnsi="Arial" w:cs="Arial"/>
                <w:color w:val="1F4E79" w:themeColor="accent1" w:themeShade="80"/>
                <w:sz w:val="24"/>
                <w:szCs w:val="24"/>
              </w:rPr>
            </w:pPr>
          </w:p>
        </w:tc>
        <w:tc>
          <w:tcPr>
            <w:tcW w:w="2806" w:type="dxa"/>
            <w:tcBorders>
              <w:top w:val="nil"/>
              <w:left w:val="nil"/>
              <w:bottom w:val="nil"/>
              <w:right w:val="nil"/>
            </w:tcBorders>
          </w:tcPr>
          <w:p w14:paraId="53E25187" w14:textId="77777777" w:rsidR="00A36E75" w:rsidRPr="00A36E75" w:rsidRDefault="00A36E75" w:rsidP="00A36E75">
            <w:pPr>
              <w:jc w:val="right"/>
              <w:rPr>
                <w:rFonts w:ascii="Arial" w:hAnsi="Arial" w:cs="Arial"/>
                <w:b/>
                <w:bCs/>
                <w:color w:val="1F4E79" w:themeColor="accent1" w:themeShade="80"/>
                <w:sz w:val="24"/>
                <w:szCs w:val="24"/>
              </w:rPr>
            </w:pPr>
            <w:r w:rsidRPr="00A36E75">
              <w:rPr>
                <w:rFonts w:ascii="Arial" w:hAnsi="Arial" w:cs="Arial"/>
                <w:color w:val="1F4E79" w:themeColor="accent1" w:themeShade="80"/>
                <w:sz w:val="24"/>
                <w:szCs w:val="24"/>
              </w:rPr>
              <w:t>UTLC_2022_05_18_P23.1</w:t>
            </w:r>
          </w:p>
          <w:p w14:paraId="5DC17A8A" w14:textId="28F82CFB" w:rsidR="00E80CB2" w:rsidRPr="00A36E75" w:rsidRDefault="00E80CB2" w:rsidP="00251B7F">
            <w:pPr>
              <w:rPr>
                <w:rFonts w:ascii="Arial" w:hAnsi="Arial" w:cs="Arial"/>
                <w:color w:val="1F4E79" w:themeColor="accent1" w:themeShade="80"/>
                <w:sz w:val="24"/>
                <w:szCs w:val="24"/>
              </w:rPr>
            </w:pPr>
          </w:p>
        </w:tc>
      </w:tr>
      <w:tr w:rsidR="00F73496" w:rsidRPr="00292844" w14:paraId="6F1652B1" w14:textId="77777777" w:rsidTr="00DF32BA">
        <w:trPr>
          <w:trHeight w:val="512"/>
        </w:trPr>
        <w:tc>
          <w:tcPr>
            <w:tcW w:w="704" w:type="dxa"/>
            <w:tcBorders>
              <w:top w:val="nil"/>
              <w:left w:val="nil"/>
              <w:bottom w:val="nil"/>
              <w:right w:val="nil"/>
            </w:tcBorders>
          </w:tcPr>
          <w:p w14:paraId="4873AA99" w14:textId="23334CB3" w:rsidR="00F73496" w:rsidRPr="00A36E75" w:rsidRDefault="00F73496" w:rsidP="00F73496">
            <w:pPr>
              <w:rPr>
                <w:rFonts w:ascii="Arial" w:hAnsi="Arial" w:cs="Arial"/>
                <w:b/>
                <w:color w:val="1F4E79" w:themeColor="accent1" w:themeShade="80"/>
                <w:sz w:val="24"/>
                <w:szCs w:val="24"/>
              </w:rPr>
            </w:pPr>
            <w:r w:rsidRPr="00A36E75">
              <w:rPr>
                <w:rFonts w:ascii="Arial" w:hAnsi="Arial" w:cs="Arial"/>
                <w:b/>
                <w:color w:val="1F4E79" w:themeColor="accent1" w:themeShade="80"/>
                <w:sz w:val="24"/>
                <w:szCs w:val="24"/>
              </w:rPr>
              <w:t>23.2</w:t>
            </w:r>
          </w:p>
        </w:tc>
        <w:tc>
          <w:tcPr>
            <w:tcW w:w="6946" w:type="dxa"/>
            <w:tcBorders>
              <w:top w:val="nil"/>
              <w:left w:val="nil"/>
              <w:bottom w:val="nil"/>
              <w:right w:val="nil"/>
            </w:tcBorders>
          </w:tcPr>
          <w:p w14:paraId="5C8128D0" w14:textId="2EDCE874" w:rsidR="00F73496" w:rsidRPr="00A36E75" w:rsidRDefault="00F73496" w:rsidP="00F73496">
            <w:pPr>
              <w:rPr>
                <w:rFonts w:ascii="Arial" w:hAnsi="Arial" w:cs="Arial"/>
                <w:b/>
                <w:bCs/>
                <w:color w:val="1F4E79" w:themeColor="accent1" w:themeShade="80"/>
                <w:sz w:val="24"/>
                <w:szCs w:val="24"/>
              </w:rPr>
            </w:pPr>
            <w:r w:rsidRPr="00A36E75">
              <w:rPr>
                <w:rFonts w:ascii="Arial" w:hAnsi="Arial" w:cs="Arial"/>
                <w:b/>
                <w:bCs/>
                <w:color w:val="1F4E79" w:themeColor="accent1" w:themeShade="80"/>
                <w:sz w:val="24"/>
                <w:szCs w:val="24"/>
              </w:rPr>
              <w:t>Turnitin Review</w:t>
            </w:r>
          </w:p>
          <w:p w14:paraId="1864987C" w14:textId="30AA7D04" w:rsidR="00F73496" w:rsidRPr="00A36E75" w:rsidRDefault="00251B7F" w:rsidP="00F73496">
            <w:pPr>
              <w:rPr>
                <w:rFonts w:ascii="Arial" w:hAnsi="Arial" w:cs="Arial"/>
                <w:color w:val="1F4E79" w:themeColor="accent1" w:themeShade="80"/>
                <w:sz w:val="24"/>
                <w:szCs w:val="24"/>
              </w:rPr>
            </w:pPr>
            <w:r w:rsidRPr="00A36E75">
              <w:rPr>
                <w:rFonts w:ascii="Arial" w:hAnsi="Arial" w:cs="Arial"/>
                <w:color w:val="1F4E79" w:themeColor="accent1" w:themeShade="80"/>
                <w:sz w:val="24"/>
                <w:szCs w:val="24"/>
              </w:rPr>
              <w:t xml:space="preserve">The Committee received </w:t>
            </w:r>
            <w:r w:rsidR="00F73496" w:rsidRPr="00A36E75">
              <w:rPr>
                <w:rFonts w:ascii="Arial" w:hAnsi="Arial" w:cs="Arial"/>
                <w:color w:val="1F4E79" w:themeColor="accent1" w:themeShade="80"/>
                <w:sz w:val="24"/>
                <w:szCs w:val="24"/>
              </w:rPr>
              <w:t>the notes from the first meeting of the SLWG - Turnitin Review</w:t>
            </w:r>
            <w:r w:rsidRPr="00A36E75">
              <w:rPr>
                <w:rFonts w:ascii="Arial" w:hAnsi="Arial" w:cs="Arial"/>
                <w:color w:val="1F4E79" w:themeColor="accent1" w:themeShade="80"/>
                <w:sz w:val="24"/>
                <w:szCs w:val="24"/>
              </w:rPr>
              <w:t>. The members were advised that two aspects were being looked at with students having access to a similarity score to aid their development and authorship</w:t>
            </w:r>
            <w:r w:rsidR="00F73496" w:rsidRPr="00A36E75">
              <w:rPr>
                <w:rFonts w:ascii="Arial" w:hAnsi="Arial" w:cs="Arial"/>
                <w:color w:val="1F4E79" w:themeColor="accent1" w:themeShade="80"/>
                <w:sz w:val="24"/>
                <w:szCs w:val="24"/>
              </w:rPr>
              <w:t xml:space="preserve"> </w:t>
            </w:r>
            <w:r w:rsidRPr="00A36E75">
              <w:rPr>
                <w:rFonts w:ascii="Arial" w:hAnsi="Arial" w:cs="Arial"/>
                <w:color w:val="1F4E79" w:themeColor="accent1" w:themeShade="80"/>
                <w:sz w:val="24"/>
                <w:szCs w:val="24"/>
              </w:rPr>
              <w:t xml:space="preserve">software to enhance investigation of allegations of ghosting and contract cheating. It was noted that staff would need support in using the authorship and implement this as part of the process in investigating academic misconduct allegations, and that students would benefit from developing their academic skills in seeing the similarity score. The Chair confirmed she was happy with the similarity score being available to students and would welcome further information on the authorship package.  </w:t>
            </w:r>
          </w:p>
        </w:tc>
        <w:tc>
          <w:tcPr>
            <w:tcW w:w="2806" w:type="dxa"/>
            <w:tcBorders>
              <w:top w:val="nil"/>
              <w:left w:val="nil"/>
              <w:bottom w:val="nil"/>
              <w:right w:val="nil"/>
            </w:tcBorders>
          </w:tcPr>
          <w:p w14:paraId="32AB4E4E" w14:textId="77777777" w:rsidR="00A36E75" w:rsidRPr="00A36E75" w:rsidRDefault="00A36E75" w:rsidP="00A36E75">
            <w:pPr>
              <w:jc w:val="right"/>
              <w:rPr>
                <w:rFonts w:ascii="Arial" w:hAnsi="Arial" w:cs="Arial"/>
                <w:color w:val="1F4E79" w:themeColor="accent1" w:themeShade="80"/>
                <w:sz w:val="24"/>
                <w:szCs w:val="24"/>
              </w:rPr>
            </w:pPr>
            <w:r w:rsidRPr="00A36E75">
              <w:rPr>
                <w:rFonts w:ascii="Arial" w:hAnsi="Arial" w:cs="Arial"/>
                <w:color w:val="1F4E79" w:themeColor="accent1" w:themeShade="80"/>
                <w:sz w:val="24"/>
                <w:szCs w:val="24"/>
              </w:rPr>
              <w:t>UTLC_2022_05_18_P23.2</w:t>
            </w:r>
          </w:p>
          <w:p w14:paraId="663A8BE9" w14:textId="799D4909" w:rsidR="00F73496" w:rsidRPr="00A36E75" w:rsidRDefault="00F73496" w:rsidP="00F73496">
            <w:pPr>
              <w:jc w:val="right"/>
              <w:rPr>
                <w:rFonts w:ascii="Arial" w:hAnsi="Arial" w:cs="Arial"/>
                <w:color w:val="1F4E79" w:themeColor="accent1" w:themeShade="80"/>
                <w:sz w:val="24"/>
                <w:szCs w:val="24"/>
              </w:rPr>
            </w:pPr>
          </w:p>
        </w:tc>
      </w:tr>
      <w:tr w:rsidR="00F73496" w:rsidRPr="00292844" w14:paraId="4CD146A1" w14:textId="77777777" w:rsidTr="00DF32BA">
        <w:trPr>
          <w:trHeight w:val="753"/>
        </w:trPr>
        <w:tc>
          <w:tcPr>
            <w:tcW w:w="704" w:type="dxa"/>
            <w:tcBorders>
              <w:top w:val="nil"/>
              <w:left w:val="nil"/>
              <w:bottom w:val="nil"/>
              <w:right w:val="nil"/>
            </w:tcBorders>
          </w:tcPr>
          <w:p w14:paraId="3BBBDF63" w14:textId="4CEA0AE8" w:rsidR="00F73496" w:rsidRPr="00B901C3" w:rsidRDefault="00F73496" w:rsidP="00F73496">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23.3</w:t>
            </w:r>
          </w:p>
        </w:tc>
        <w:tc>
          <w:tcPr>
            <w:tcW w:w="6946" w:type="dxa"/>
            <w:tcBorders>
              <w:top w:val="nil"/>
              <w:left w:val="nil"/>
              <w:bottom w:val="nil"/>
              <w:right w:val="nil"/>
            </w:tcBorders>
          </w:tcPr>
          <w:p w14:paraId="74BBB778" w14:textId="77777777" w:rsidR="00F73496" w:rsidRPr="00B901C3" w:rsidRDefault="00F73496" w:rsidP="00F73496">
            <w:pPr>
              <w:rPr>
                <w:rFonts w:ascii="Arial" w:hAnsi="Arial" w:cs="Arial"/>
                <w:b/>
                <w:bCs/>
                <w:color w:val="1F4E79" w:themeColor="accent1" w:themeShade="80"/>
                <w:sz w:val="24"/>
                <w:szCs w:val="24"/>
              </w:rPr>
            </w:pPr>
            <w:r w:rsidRPr="00B901C3">
              <w:rPr>
                <w:rFonts w:ascii="Arial" w:hAnsi="Arial" w:cs="Arial"/>
                <w:b/>
                <w:bCs/>
                <w:color w:val="1F4E79" w:themeColor="accent1" w:themeShade="80"/>
                <w:sz w:val="24"/>
                <w:szCs w:val="24"/>
              </w:rPr>
              <w:t>Extensions and EC’s Review</w:t>
            </w:r>
          </w:p>
          <w:p w14:paraId="3175AEAF" w14:textId="0940A919" w:rsidR="00F73496" w:rsidRPr="00B901C3" w:rsidRDefault="00251B7F" w:rsidP="00F73496">
            <w:pPr>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 xml:space="preserve">None to note. </w:t>
            </w:r>
          </w:p>
        </w:tc>
        <w:tc>
          <w:tcPr>
            <w:tcW w:w="2806" w:type="dxa"/>
            <w:tcBorders>
              <w:top w:val="nil"/>
              <w:left w:val="nil"/>
              <w:bottom w:val="nil"/>
              <w:right w:val="nil"/>
            </w:tcBorders>
          </w:tcPr>
          <w:p w14:paraId="0ABB41A0" w14:textId="60A94E51" w:rsidR="00F73496" w:rsidRPr="00B901C3" w:rsidRDefault="00F73496" w:rsidP="00F73496">
            <w:pPr>
              <w:jc w:val="right"/>
              <w:rPr>
                <w:rFonts w:ascii="Arial" w:hAnsi="Arial" w:cs="Arial"/>
                <w:color w:val="1F4E79" w:themeColor="accent1" w:themeShade="80"/>
                <w:sz w:val="24"/>
                <w:szCs w:val="24"/>
              </w:rPr>
            </w:pPr>
          </w:p>
        </w:tc>
      </w:tr>
      <w:tr w:rsidR="00F73496" w:rsidRPr="00292844" w14:paraId="67930BA5" w14:textId="77777777" w:rsidTr="00DF32BA">
        <w:trPr>
          <w:trHeight w:val="768"/>
        </w:trPr>
        <w:tc>
          <w:tcPr>
            <w:tcW w:w="704" w:type="dxa"/>
            <w:tcBorders>
              <w:top w:val="nil"/>
              <w:left w:val="nil"/>
              <w:bottom w:val="nil"/>
              <w:right w:val="nil"/>
            </w:tcBorders>
          </w:tcPr>
          <w:p w14:paraId="5E9EFE05" w14:textId="156A3B60" w:rsidR="00F73496" w:rsidRPr="00B901C3" w:rsidRDefault="00F73496" w:rsidP="00F73496">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23.</w:t>
            </w:r>
            <w:r w:rsidR="00252FD8" w:rsidRPr="00B901C3">
              <w:rPr>
                <w:rFonts w:ascii="Arial" w:hAnsi="Arial" w:cs="Arial"/>
                <w:b/>
                <w:color w:val="1F4E79" w:themeColor="accent1" w:themeShade="80"/>
                <w:sz w:val="24"/>
                <w:szCs w:val="24"/>
              </w:rPr>
              <w:t>4</w:t>
            </w:r>
          </w:p>
        </w:tc>
        <w:tc>
          <w:tcPr>
            <w:tcW w:w="6946" w:type="dxa"/>
            <w:tcBorders>
              <w:top w:val="nil"/>
              <w:left w:val="nil"/>
              <w:bottom w:val="nil"/>
              <w:right w:val="nil"/>
            </w:tcBorders>
          </w:tcPr>
          <w:p w14:paraId="19C18DFB" w14:textId="77777777" w:rsidR="00F73496" w:rsidRPr="00B901C3" w:rsidRDefault="00F73496" w:rsidP="00F73496">
            <w:pPr>
              <w:rPr>
                <w:rFonts w:ascii="Arial" w:hAnsi="Arial" w:cs="Arial"/>
                <w:b/>
                <w:bCs/>
                <w:color w:val="1F4E79" w:themeColor="accent1" w:themeShade="80"/>
                <w:sz w:val="24"/>
                <w:szCs w:val="24"/>
              </w:rPr>
            </w:pPr>
            <w:r w:rsidRPr="00B901C3">
              <w:rPr>
                <w:rFonts w:ascii="Arial" w:hAnsi="Arial" w:cs="Arial"/>
                <w:b/>
                <w:bCs/>
                <w:color w:val="1F4E79" w:themeColor="accent1" w:themeShade="80"/>
                <w:sz w:val="24"/>
                <w:szCs w:val="24"/>
              </w:rPr>
              <w:t>DBS</w:t>
            </w:r>
          </w:p>
          <w:p w14:paraId="1483F191" w14:textId="5F29C4AE" w:rsidR="00F73496" w:rsidRPr="00B901C3" w:rsidRDefault="00251B7F" w:rsidP="00F73496">
            <w:pPr>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 xml:space="preserve">None to note. </w:t>
            </w:r>
          </w:p>
        </w:tc>
        <w:tc>
          <w:tcPr>
            <w:tcW w:w="2806" w:type="dxa"/>
            <w:tcBorders>
              <w:top w:val="nil"/>
              <w:left w:val="nil"/>
              <w:bottom w:val="nil"/>
              <w:right w:val="nil"/>
            </w:tcBorders>
          </w:tcPr>
          <w:p w14:paraId="24D702CC" w14:textId="52FECEFA" w:rsidR="00F73496" w:rsidRPr="00B901C3" w:rsidRDefault="00F73496" w:rsidP="00F73496">
            <w:pPr>
              <w:jc w:val="right"/>
              <w:rPr>
                <w:rFonts w:ascii="Arial" w:hAnsi="Arial" w:cs="Arial"/>
                <w:color w:val="1F4E79" w:themeColor="accent1" w:themeShade="80"/>
                <w:sz w:val="24"/>
                <w:szCs w:val="24"/>
              </w:rPr>
            </w:pPr>
          </w:p>
        </w:tc>
      </w:tr>
      <w:tr w:rsidR="00F73496" w:rsidRPr="00292844" w14:paraId="42CCB585" w14:textId="77777777" w:rsidTr="00DF32BA">
        <w:trPr>
          <w:trHeight w:val="753"/>
        </w:trPr>
        <w:tc>
          <w:tcPr>
            <w:tcW w:w="704" w:type="dxa"/>
            <w:tcBorders>
              <w:top w:val="nil"/>
              <w:left w:val="nil"/>
              <w:bottom w:val="nil"/>
              <w:right w:val="nil"/>
            </w:tcBorders>
          </w:tcPr>
          <w:p w14:paraId="4C0AA268" w14:textId="3EAAD106" w:rsidR="00F73496" w:rsidRPr="00B901C3" w:rsidRDefault="00F73496" w:rsidP="00F73496">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23.</w:t>
            </w:r>
            <w:r w:rsidR="00252FD8" w:rsidRPr="00B901C3">
              <w:rPr>
                <w:rFonts w:ascii="Arial" w:hAnsi="Arial" w:cs="Arial"/>
                <w:b/>
                <w:color w:val="1F4E79" w:themeColor="accent1" w:themeShade="80"/>
                <w:sz w:val="24"/>
                <w:szCs w:val="24"/>
              </w:rPr>
              <w:t>5</w:t>
            </w:r>
          </w:p>
        </w:tc>
        <w:tc>
          <w:tcPr>
            <w:tcW w:w="6946" w:type="dxa"/>
            <w:tcBorders>
              <w:top w:val="nil"/>
              <w:left w:val="nil"/>
              <w:bottom w:val="nil"/>
              <w:right w:val="nil"/>
            </w:tcBorders>
          </w:tcPr>
          <w:p w14:paraId="425C7CDE" w14:textId="77777777" w:rsidR="00F73496" w:rsidRPr="00B901C3" w:rsidRDefault="00F73496" w:rsidP="00F73496">
            <w:pPr>
              <w:rPr>
                <w:rFonts w:ascii="Arial" w:hAnsi="Arial" w:cs="Arial"/>
                <w:b/>
                <w:bCs/>
                <w:color w:val="1F4E79" w:themeColor="accent1" w:themeShade="80"/>
                <w:sz w:val="24"/>
                <w:szCs w:val="24"/>
              </w:rPr>
            </w:pPr>
            <w:r w:rsidRPr="00B901C3">
              <w:rPr>
                <w:rFonts w:ascii="Arial" w:hAnsi="Arial" w:cs="Arial"/>
                <w:b/>
                <w:bCs/>
                <w:color w:val="1F4E79" w:themeColor="accent1" w:themeShade="80"/>
                <w:sz w:val="24"/>
                <w:szCs w:val="24"/>
              </w:rPr>
              <w:t>Assessment Strategy</w:t>
            </w:r>
          </w:p>
          <w:p w14:paraId="4F0558D5" w14:textId="2F2E3DD7" w:rsidR="00F73496" w:rsidRPr="00B901C3" w:rsidRDefault="00E47385" w:rsidP="00F73496">
            <w:pPr>
              <w:rPr>
                <w:rFonts w:ascii="Arial" w:hAnsi="Arial" w:cs="Arial"/>
                <w:b/>
                <w:bCs/>
                <w:color w:val="1F4E79" w:themeColor="accent1" w:themeShade="80"/>
                <w:sz w:val="24"/>
                <w:szCs w:val="24"/>
              </w:rPr>
            </w:pPr>
            <w:r w:rsidRPr="00B901C3">
              <w:rPr>
                <w:rFonts w:ascii="Arial" w:hAnsi="Arial" w:cs="Arial"/>
                <w:color w:val="1F4E79" w:themeColor="accent1" w:themeShade="80"/>
                <w:sz w:val="24"/>
                <w:szCs w:val="24"/>
              </w:rPr>
              <w:t xml:space="preserve">None to note. </w:t>
            </w:r>
            <w:r w:rsidR="00F73496" w:rsidRPr="00B901C3">
              <w:rPr>
                <w:rFonts w:ascii="Arial" w:hAnsi="Arial" w:cs="Arial"/>
                <w:color w:val="1F4E79" w:themeColor="accent1" w:themeShade="80"/>
                <w:sz w:val="24"/>
                <w:szCs w:val="24"/>
              </w:rPr>
              <w:t xml:space="preserve"> </w:t>
            </w:r>
          </w:p>
        </w:tc>
        <w:tc>
          <w:tcPr>
            <w:tcW w:w="2806" w:type="dxa"/>
            <w:tcBorders>
              <w:top w:val="nil"/>
              <w:left w:val="nil"/>
              <w:bottom w:val="nil"/>
              <w:right w:val="nil"/>
            </w:tcBorders>
          </w:tcPr>
          <w:p w14:paraId="1B2DB02F" w14:textId="63FA98B7" w:rsidR="00F73496" w:rsidRPr="00B901C3" w:rsidRDefault="00F73496" w:rsidP="00F73496">
            <w:pPr>
              <w:jc w:val="right"/>
              <w:rPr>
                <w:rFonts w:ascii="Arial" w:hAnsi="Arial" w:cs="Arial"/>
                <w:color w:val="1F4E79" w:themeColor="accent1" w:themeShade="80"/>
                <w:sz w:val="24"/>
                <w:szCs w:val="24"/>
              </w:rPr>
            </w:pPr>
          </w:p>
        </w:tc>
      </w:tr>
      <w:tr w:rsidR="00F73496" w:rsidRPr="00292844" w14:paraId="3145CE2C" w14:textId="77777777" w:rsidTr="00DF32BA">
        <w:trPr>
          <w:trHeight w:val="768"/>
        </w:trPr>
        <w:tc>
          <w:tcPr>
            <w:tcW w:w="704" w:type="dxa"/>
            <w:tcBorders>
              <w:top w:val="nil"/>
              <w:left w:val="nil"/>
              <w:bottom w:val="nil"/>
              <w:right w:val="nil"/>
            </w:tcBorders>
          </w:tcPr>
          <w:p w14:paraId="10ECEDFF" w14:textId="3A3C3BE0" w:rsidR="00F73496" w:rsidRPr="00B901C3" w:rsidRDefault="00F73496" w:rsidP="00F73496">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23.</w:t>
            </w:r>
            <w:r w:rsidR="00252FD8" w:rsidRPr="00B901C3">
              <w:rPr>
                <w:rFonts w:ascii="Arial" w:hAnsi="Arial" w:cs="Arial"/>
                <w:b/>
                <w:color w:val="1F4E79" w:themeColor="accent1" w:themeShade="80"/>
                <w:sz w:val="24"/>
                <w:szCs w:val="24"/>
              </w:rPr>
              <w:t>6</w:t>
            </w:r>
          </w:p>
        </w:tc>
        <w:tc>
          <w:tcPr>
            <w:tcW w:w="6946" w:type="dxa"/>
            <w:tcBorders>
              <w:top w:val="nil"/>
              <w:left w:val="nil"/>
              <w:bottom w:val="nil"/>
              <w:right w:val="nil"/>
            </w:tcBorders>
          </w:tcPr>
          <w:p w14:paraId="0A2090D7" w14:textId="77777777" w:rsidR="00F73496" w:rsidRPr="00B901C3" w:rsidRDefault="00F73496" w:rsidP="00F73496">
            <w:pPr>
              <w:rPr>
                <w:rFonts w:ascii="Arial" w:hAnsi="Arial" w:cs="Arial"/>
                <w:b/>
                <w:bCs/>
                <w:color w:val="1F4E79" w:themeColor="accent1" w:themeShade="80"/>
                <w:sz w:val="24"/>
                <w:szCs w:val="24"/>
              </w:rPr>
            </w:pPr>
            <w:r w:rsidRPr="00B901C3">
              <w:rPr>
                <w:rFonts w:ascii="Arial" w:hAnsi="Arial" w:cs="Arial"/>
                <w:b/>
                <w:bCs/>
                <w:color w:val="1F4E79" w:themeColor="accent1" w:themeShade="80"/>
                <w:sz w:val="24"/>
                <w:szCs w:val="24"/>
              </w:rPr>
              <w:t>Timetabling</w:t>
            </w:r>
          </w:p>
          <w:p w14:paraId="6C7309B4" w14:textId="1EBB260E" w:rsidR="00F73496" w:rsidRPr="00B901C3" w:rsidRDefault="00251B7F" w:rsidP="00F73496">
            <w:pPr>
              <w:rPr>
                <w:rFonts w:ascii="Arial" w:hAnsi="Arial" w:cs="Arial"/>
                <w:b/>
                <w:bCs/>
                <w:color w:val="1F4E79" w:themeColor="accent1" w:themeShade="80"/>
                <w:sz w:val="24"/>
                <w:szCs w:val="24"/>
              </w:rPr>
            </w:pPr>
            <w:r w:rsidRPr="00B901C3">
              <w:rPr>
                <w:rFonts w:ascii="Arial" w:hAnsi="Arial" w:cs="Arial"/>
                <w:color w:val="1F4E79" w:themeColor="accent1" w:themeShade="80"/>
                <w:sz w:val="24"/>
                <w:szCs w:val="24"/>
              </w:rPr>
              <w:t>None to note.</w:t>
            </w:r>
          </w:p>
        </w:tc>
        <w:tc>
          <w:tcPr>
            <w:tcW w:w="2806" w:type="dxa"/>
            <w:tcBorders>
              <w:top w:val="nil"/>
              <w:left w:val="nil"/>
              <w:bottom w:val="nil"/>
              <w:right w:val="nil"/>
            </w:tcBorders>
          </w:tcPr>
          <w:p w14:paraId="144835D4" w14:textId="1FC18C69" w:rsidR="00F73496" w:rsidRPr="00B901C3" w:rsidRDefault="00F73496" w:rsidP="00F73496">
            <w:pPr>
              <w:jc w:val="right"/>
              <w:rPr>
                <w:rFonts w:ascii="Arial" w:hAnsi="Arial" w:cs="Arial"/>
                <w:color w:val="1F4E79" w:themeColor="accent1" w:themeShade="80"/>
                <w:sz w:val="24"/>
                <w:szCs w:val="24"/>
              </w:rPr>
            </w:pPr>
          </w:p>
        </w:tc>
      </w:tr>
      <w:tr w:rsidR="00F73496" w:rsidRPr="00292844" w14:paraId="5D6941D7" w14:textId="77777777" w:rsidTr="00DF32BA">
        <w:trPr>
          <w:trHeight w:val="753"/>
        </w:trPr>
        <w:tc>
          <w:tcPr>
            <w:tcW w:w="704" w:type="dxa"/>
            <w:tcBorders>
              <w:top w:val="nil"/>
              <w:left w:val="nil"/>
              <w:bottom w:val="nil"/>
              <w:right w:val="nil"/>
            </w:tcBorders>
          </w:tcPr>
          <w:p w14:paraId="71F5BFDF" w14:textId="13CFEB9D" w:rsidR="00F73496" w:rsidRPr="00B901C3" w:rsidRDefault="00F73496" w:rsidP="00F73496">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23.</w:t>
            </w:r>
            <w:r w:rsidR="00252FD8" w:rsidRPr="00B901C3">
              <w:rPr>
                <w:rFonts w:ascii="Arial" w:hAnsi="Arial" w:cs="Arial"/>
                <w:b/>
                <w:color w:val="1F4E79" w:themeColor="accent1" w:themeShade="80"/>
                <w:sz w:val="24"/>
                <w:szCs w:val="24"/>
              </w:rPr>
              <w:t>7</w:t>
            </w:r>
          </w:p>
        </w:tc>
        <w:tc>
          <w:tcPr>
            <w:tcW w:w="6946" w:type="dxa"/>
            <w:tcBorders>
              <w:top w:val="nil"/>
              <w:left w:val="nil"/>
              <w:bottom w:val="nil"/>
              <w:right w:val="nil"/>
            </w:tcBorders>
          </w:tcPr>
          <w:p w14:paraId="68B40CB5" w14:textId="77777777" w:rsidR="00F73496" w:rsidRPr="00B901C3" w:rsidRDefault="00F73496" w:rsidP="00F73496">
            <w:pPr>
              <w:rPr>
                <w:rFonts w:ascii="Arial" w:hAnsi="Arial" w:cs="Arial"/>
                <w:b/>
                <w:bCs/>
                <w:color w:val="1F4E79" w:themeColor="accent1" w:themeShade="80"/>
                <w:sz w:val="24"/>
                <w:szCs w:val="24"/>
              </w:rPr>
            </w:pPr>
            <w:bookmarkStart w:id="1" w:name="_Hlk103160861"/>
            <w:r w:rsidRPr="00B901C3">
              <w:rPr>
                <w:rFonts w:ascii="Arial" w:hAnsi="Arial" w:cs="Arial"/>
                <w:b/>
                <w:bCs/>
                <w:color w:val="1F4E79" w:themeColor="accent1" w:themeShade="80"/>
                <w:sz w:val="24"/>
                <w:szCs w:val="24"/>
              </w:rPr>
              <w:t>GPA</w:t>
            </w:r>
          </w:p>
          <w:bookmarkEnd w:id="1"/>
          <w:p w14:paraId="7BCEB0C4" w14:textId="263E2B67" w:rsidR="00F73496" w:rsidRPr="00B901C3" w:rsidRDefault="00251B7F" w:rsidP="00F73496">
            <w:pPr>
              <w:rPr>
                <w:rFonts w:ascii="Arial" w:hAnsi="Arial" w:cs="Arial"/>
                <w:b/>
                <w:bCs/>
                <w:color w:val="1F4E79" w:themeColor="accent1" w:themeShade="80"/>
                <w:sz w:val="24"/>
                <w:szCs w:val="24"/>
              </w:rPr>
            </w:pPr>
            <w:r w:rsidRPr="00B901C3">
              <w:rPr>
                <w:rFonts w:ascii="Arial" w:hAnsi="Arial" w:cs="Arial"/>
                <w:color w:val="1F4E79" w:themeColor="accent1" w:themeShade="80"/>
                <w:sz w:val="24"/>
                <w:szCs w:val="24"/>
              </w:rPr>
              <w:t>None to note.</w:t>
            </w:r>
          </w:p>
        </w:tc>
        <w:tc>
          <w:tcPr>
            <w:tcW w:w="2806" w:type="dxa"/>
            <w:tcBorders>
              <w:top w:val="nil"/>
              <w:left w:val="nil"/>
              <w:bottom w:val="nil"/>
              <w:right w:val="nil"/>
            </w:tcBorders>
          </w:tcPr>
          <w:p w14:paraId="436038A1" w14:textId="4485BA9E" w:rsidR="00F73496" w:rsidRPr="00B901C3" w:rsidRDefault="00F73496" w:rsidP="00F73496">
            <w:pPr>
              <w:jc w:val="right"/>
              <w:rPr>
                <w:rFonts w:ascii="Arial" w:hAnsi="Arial" w:cs="Arial"/>
                <w:color w:val="1F4E79" w:themeColor="accent1" w:themeShade="80"/>
                <w:sz w:val="24"/>
                <w:szCs w:val="24"/>
              </w:rPr>
            </w:pPr>
          </w:p>
        </w:tc>
      </w:tr>
      <w:tr w:rsidR="00252FD8" w14:paraId="1A51FAF6" w14:textId="77777777" w:rsidTr="00DF32BA">
        <w:trPr>
          <w:trHeight w:val="256"/>
        </w:trPr>
        <w:tc>
          <w:tcPr>
            <w:tcW w:w="704" w:type="dxa"/>
            <w:tcBorders>
              <w:top w:val="nil"/>
              <w:left w:val="nil"/>
              <w:bottom w:val="nil"/>
              <w:right w:val="nil"/>
            </w:tcBorders>
          </w:tcPr>
          <w:p w14:paraId="670AF088" w14:textId="3D225710" w:rsidR="00252FD8" w:rsidRPr="00B901C3" w:rsidRDefault="00252FD8" w:rsidP="00252FD8">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23.8</w:t>
            </w:r>
          </w:p>
        </w:tc>
        <w:tc>
          <w:tcPr>
            <w:tcW w:w="6946" w:type="dxa"/>
            <w:tcBorders>
              <w:top w:val="nil"/>
              <w:left w:val="nil"/>
              <w:bottom w:val="nil"/>
              <w:right w:val="nil"/>
            </w:tcBorders>
          </w:tcPr>
          <w:p w14:paraId="2B13F2CC" w14:textId="77777777" w:rsidR="00252FD8" w:rsidRPr="00B901C3" w:rsidRDefault="00252FD8" w:rsidP="00252FD8">
            <w:pPr>
              <w:rPr>
                <w:rFonts w:ascii="Arial" w:hAnsi="Arial" w:cs="Arial"/>
                <w:b/>
                <w:bCs/>
                <w:color w:val="1F4E79" w:themeColor="accent1" w:themeShade="80"/>
                <w:sz w:val="24"/>
                <w:szCs w:val="24"/>
              </w:rPr>
            </w:pPr>
            <w:r w:rsidRPr="00B901C3">
              <w:rPr>
                <w:rFonts w:ascii="Arial" w:hAnsi="Arial" w:cs="Arial"/>
                <w:b/>
                <w:bCs/>
                <w:color w:val="1F4E79" w:themeColor="accent1" w:themeShade="80"/>
                <w:sz w:val="24"/>
                <w:szCs w:val="24"/>
              </w:rPr>
              <w:t>Pre-Cabs</w:t>
            </w:r>
          </w:p>
          <w:p w14:paraId="29BA80C0" w14:textId="4A2ABC91" w:rsidR="00252FD8" w:rsidRPr="00B901C3" w:rsidRDefault="00251B7F" w:rsidP="00252FD8">
            <w:pPr>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None to note.</w:t>
            </w:r>
          </w:p>
        </w:tc>
        <w:tc>
          <w:tcPr>
            <w:tcW w:w="2806" w:type="dxa"/>
            <w:tcBorders>
              <w:top w:val="nil"/>
              <w:left w:val="nil"/>
              <w:bottom w:val="nil"/>
              <w:right w:val="nil"/>
            </w:tcBorders>
          </w:tcPr>
          <w:p w14:paraId="72EA1C70" w14:textId="77777777" w:rsidR="00252FD8" w:rsidRPr="00B901C3" w:rsidRDefault="00252FD8" w:rsidP="00252FD8">
            <w:pPr>
              <w:jc w:val="right"/>
              <w:rPr>
                <w:rFonts w:ascii="Arial" w:hAnsi="Arial" w:cs="Arial"/>
                <w:color w:val="1F4E79" w:themeColor="accent1" w:themeShade="80"/>
                <w:sz w:val="24"/>
                <w:szCs w:val="24"/>
              </w:rPr>
            </w:pPr>
          </w:p>
        </w:tc>
      </w:tr>
      <w:tr w:rsidR="00252FD8" w14:paraId="670E3AEC" w14:textId="77777777" w:rsidTr="00DF32BA">
        <w:trPr>
          <w:trHeight w:val="256"/>
        </w:trPr>
        <w:tc>
          <w:tcPr>
            <w:tcW w:w="704" w:type="dxa"/>
            <w:tcBorders>
              <w:top w:val="nil"/>
              <w:left w:val="nil"/>
              <w:bottom w:val="nil"/>
              <w:right w:val="nil"/>
            </w:tcBorders>
          </w:tcPr>
          <w:p w14:paraId="334709D7" w14:textId="77777777"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47514A95" w14:textId="77777777" w:rsidR="00252FD8" w:rsidRDefault="00252FD8" w:rsidP="00252FD8">
            <w:pPr>
              <w:rPr>
                <w:rFonts w:ascii="Arial" w:hAnsi="Arial" w:cs="Arial"/>
                <w:b/>
                <w:bCs/>
                <w:color w:val="000000" w:themeColor="text1"/>
              </w:rPr>
            </w:pPr>
          </w:p>
        </w:tc>
        <w:tc>
          <w:tcPr>
            <w:tcW w:w="2806" w:type="dxa"/>
            <w:tcBorders>
              <w:top w:val="nil"/>
              <w:left w:val="nil"/>
              <w:bottom w:val="nil"/>
              <w:right w:val="nil"/>
            </w:tcBorders>
          </w:tcPr>
          <w:p w14:paraId="14A708ED" w14:textId="77777777" w:rsidR="00252FD8" w:rsidRPr="00E10574" w:rsidRDefault="00252FD8" w:rsidP="00252FD8">
            <w:pPr>
              <w:jc w:val="right"/>
              <w:rPr>
                <w:rFonts w:ascii="Arial" w:hAnsi="Arial" w:cs="Arial"/>
                <w:color w:val="FF0000"/>
                <w:sz w:val="20"/>
                <w:szCs w:val="20"/>
              </w:rPr>
            </w:pPr>
          </w:p>
        </w:tc>
      </w:tr>
      <w:tr w:rsidR="00252FD8" w14:paraId="70B69748" w14:textId="77777777" w:rsidTr="00DF32BA">
        <w:trPr>
          <w:trHeight w:val="256"/>
        </w:trPr>
        <w:tc>
          <w:tcPr>
            <w:tcW w:w="704" w:type="dxa"/>
            <w:tcBorders>
              <w:top w:val="nil"/>
              <w:left w:val="nil"/>
              <w:bottom w:val="nil"/>
              <w:right w:val="nil"/>
            </w:tcBorders>
          </w:tcPr>
          <w:p w14:paraId="0A68CED0" w14:textId="6C740EAE" w:rsidR="00252FD8" w:rsidRPr="00B901C3" w:rsidRDefault="00252FD8" w:rsidP="00252FD8">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24.</w:t>
            </w:r>
          </w:p>
        </w:tc>
        <w:tc>
          <w:tcPr>
            <w:tcW w:w="6946" w:type="dxa"/>
            <w:tcBorders>
              <w:top w:val="nil"/>
              <w:left w:val="nil"/>
              <w:bottom w:val="nil"/>
              <w:right w:val="nil"/>
            </w:tcBorders>
          </w:tcPr>
          <w:p w14:paraId="71D2B6C2" w14:textId="57E50820" w:rsidR="00252FD8" w:rsidRPr="00B901C3" w:rsidRDefault="00252FD8" w:rsidP="00252FD8">
            <w:pPr>
              <w:rPr>
                <w:rFonts w:ascii="Arial" w:hAnsi="Arial" w:cs="Arial"/>
                <w:color w:val="1F4E79" w:themeColor="accent1" w:themeShade="80"/>
                <w:sz w:val="24"/>
                <w:szCs w:val="24"/>
              </w:rPr>
            </w:pPr>
            <w:r w:rsidRPr="00B901C3">
              <w:rPr>
                <w:rFonts w:ascii="Arial" w:hAnsi="Arial" w:cs="Arial"/>
                <w:b/>
                <w:color w:val="1F4E79" w:themeColor="accent1" w:themeShade="80"/>
                <w:sz w:val="24"/>
                <w:szCs w:val="24"/>
              </w:rPr>
              <w:t>REPORT FROM DEGREE APPRENTICESHIPS COMMITTEE</w:t>
            </w:r>
          </w:p>
        </w:tc>
        <w:tc>
          <w:tcPr>
            <w:tcW w:w="2806" w:type="dxa"/>
            <w:tcBorders>
              <w:top w:val="nil"/>
              <w:left w:val="nil"/>
              <w:bottom w:val="nil"/>
              <w:right w:val="nil"/>
            </w:tcBorders>
          </w:tcPr>
          <w:p w14:paraId="3BBA2F55" w14:textId="77777777" w:rsidR="00252FD8" w:rsidRPr="00B901C3" w:rsidRDefault="00252FD8" w:rsidP="00252FD8">
            <w:pPr>
              <w:jc w:val="right"/>
              <w:rPr>
                <w:rFonts w:ascii="Arial" w:hAnsi="Arial" w:cs="Arial"/>
                <w:color w:val="1F4E79" w:themeColor="accent1" w:themeShade="80"/>
                <w:sz w:val="24"/>
                <w:szCs w:val="24"/>
              </w:rPr>
            </w:pPr>
          </w:p>
        </w:tc>
      </w:tr>
      <w:tr w:rsidR="00252FD8" w14:paraId="182EF14C" w14:textId="77777777" w:rsidTr="00DF32BA">
        <w:trPr>
          <w:trHeight w:val="256"/>
        </w:trPr>
        <w:tc>
          <w:tcPr>
            <w:tcW w:w="704" w:type="dxa"/>
            <w:tcBorders>
              <w:top w:val="nil"/>
              <w:left w:val="nil"/>
              <w:bottom w:val="nil"/>
              <w:right w:val="nil"/>
            </w:tcBorders>
          </w:tcPr>
          <w:p w14:paraId="27D6A955" w14:textId="7293768C" w:rsidR="00252FD8" w:rsidRPr="00B901C3" w:rsidRDefault="00252FD8" w:rsidP="00252FD8">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24.1</w:t>
            </w:r>
          </w:p>
        </w:tc>
        <w:tc>
          <w:tcPr>
            <w:tcW w:w="6946" w:type="dxa"/>
            <w:tcBorders>
              <w:top w:val="nil"/>
              <w:left w:val="nil"/>
              <w:bottom w:val="nil"/>
              <w:right w:val="nil"/>
            </w:tcBorders>
          </w:tcPr>
          <w:p w14:paraId="712AE53D" w14:textId="783DCB86" w:rsidR="00252FD8" w:rsidRPr="00B901C3" w:rsidRDefault="00252FD8" w:rsidP="00252FD8">
            <w:pPr>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To receive minutes from the latest meeting - none to note</w:t>
            </w:r>
          </w:p>
        </w:tc>
        <w:tc>
          <w:tcPr>
            <w:tcW w:w="2806" w:type="dxa"/>
            <w:tcBorders>
              <w:top w:val="nil"/>
              <w:left w:val="nil"/>
              <w:bottom w:val="nil"/>
              <w:right w:val="nil"/>
            </w:tcBorders>
          </w:tcPr>
          <w:p w14:paraId="15A93A51" w14:textId="237A561D" w:rsidR="00252FD8" w:rsidRPr="00B901C3" w:rsidRDefault="00252FD8" w:rsidP="00252FD8">
            <w:pPr>
              <w:jc w:val="right"/>
              <w:rPr>
                <w:rFonts w:ascii="Arial" w:hAnsi="Arial" w:cs="Arial"/>
                <w:color w:val="1F4E79" w:themeColor="accent1" w:themeShade="80"/>
                <w:sz w:val="24"/>
                <w:szCs w:val="24"/>
              </w:rPr>
            </w:pPr>
          </w:p>
        </w:tc>
      </w:tr>
      <w:tr w:rsidR="00252FD8" w14:paraId="3F3470BB" w14:textId="77777777" w:rsidTr="00DF32BA">
        <w:trPr>
          <w:trHeight w:val="256"/>
        </w:trPr>
        <w:tc>
          <w:tcPr>
            <w:tcW w:w="704" w:type="dxa"/>
            <w:tcBorders>
              <w:top w:val="nil"/>
              <w:left w:val="nil"/>
              <w:bottom w:val="nil"/>
              <w:right w:val="nil"/>
            </w:tcBorders>
          </w:tcPr>
          <w:p w14:paraId="039ADC48" w14:textId="428E4519" w:rsidR="00252FD8" w:rsidRPr="00B901C3" w:rsidRDefault="00252FD8" w:rsidP="00252FD8">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24.2</w:t>
            </w:r>
          </w:p>
        </w:tc>
        <w:tc>
          <w:tcPr>
            <w:tcW w:w="6946" w:type="dxa"/>
            <w:tcBorders>
              <w:top w:val="nil"/>
              <w:left w:val="nil"/>
              <w:bottom w:val="nil"/>
              <w:right w:val="nil"/>
            </w:tcBorders>
          </w:tcPr>
          <w:p w14:paraId="670156AC" w14:textId="515BB6F0" w:rsidR="00252FD8" w:rsidRPr="00B901C3" w:rsidRDefault="00252FD8" w:rsidP="00252FD8">
            <w:pPr>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T</w:t>
            </w:r>
            <w:r w:rsidR="002C4AEA" w:rsidRPr="00B901C3">
              <w:rPr>
                <w:rFonts w:ascii="Arial" w:hAnsi="Arial" w:cs="Arial"/>
                <w:color w:val="1F4E79" w:themeColor="accent1" w:themeShade="80"/>
                <w:sz w:val="24"/>
                <w:szCs w:val="24"/>
              </w:rPr>
              <w:t xml:space="preserve">he Chair congratulated all involved in the successful Ofsted report and thanked for their work before and during. </w:t>
            </w:r>
          </w:p>
        </w:tc>
        <w:tc>
          <w:tcPr>
            <w:tcW w:w="2806" w:type="dxa"/>
            <w:tcBorders>
              <w:top w:val="nil"/>
              <w:left w:val="nil"/>
              <w:bottom w:val="nil"/>
              <w:right w:val="nil"/>
            </w:tcBorders>
          </w:tcPr>
          <w:p w14:paraId="393BC293" w14:textId="77777777" w:rsidR="00B901C3" w:rsidRPr="00B901C3" w:rsidRDefault="00B901C3" w:rsidP="00B901C3">
            <w:pPr>
              <w:jc w:val="right"/>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UTLC_2022_05_18_P24.2</w:t>
            </w:r>
          </w:p>
          <w:p w14:paraId="3966FE3E" w14:textId="75D7A1C6" w:rsidR="00252FD8" w:rsidRPr="00B901C3" w:rsidRDefault="00252FD8" w:rsidP="00252FD8">
            <w:pPr>
              <w:jc w:val="right"/>
              <w:rPr>
                <w:rFonts w:ascii="Arial" w:hAnsi="Arial" w:cs="Arial"/>
                <w:color w:val="1F4E79" w:themeColor="accent1" w:themeShade="80"/>
                <w:sz w:val="24"/>
                <w:szCs w:val="24"/>
              </w:rPr>
            </w:pPr>
          </w:p>
        </w:tc>
      </w:tr>
      <w:tr w:rsidR="00252FD8" w14:paraId="5D139D9D" w14:textId="77777777" w:rsidTr="00DF32BA">
        <w:trPr>
          <w:trHeight w:val="256"/>
        </w:trPr>
        <w:tc>
          <w:tcPr>
            <w:tcW w:w="704" w:type="dxa"/>
            <w:tcBorders>
              <w:top w:val="nil"/>
              <w:left w:val="nil"/>
              <w:bottom w:val="nil"/>
              <w:right w:val="nil"/>
            </w:tcBorders>
          </w:tcPr>
          <w:p w14:paraId="5BEBA91B" w14:textId="77777777"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7AC348FF" w14:textId="77777777" w:rsidR="00252FD8" w:rsidRDefault="00252FD8" w:rsidP="00252FD8">
            <w:pPr>
              <w:rPr>
                <w:rFonts w:ascii="Arial" w:hAnsi="Arial" w:cs="Arial"/>
                <w:color w:val="000000" w:themeColor="text1"/>
              </w:rPr>
            </w:pPr>
          </w:p>
        </w:tc>
        <w:tc>
          <w:tcPr>
            <w:tcW w:w="2806" w:type="dxa"/>
            <w:tcBorders>
              <w:top w:val="nil"/>
              <w:left w:val="nil"/>
              <w:bottom w:val="nil"/>
              <w:right w:val="nil"/>
            </w:tcBorders>
          </w:tcPr>
          <w:p w14:paraId="30D456D3" w14:textId="77777777" w:rsidR="00252FD8" w:rsidRPr="003F50C0" w:rsidRDefault="00252FD8" w:rsidP="00252FD8">
            <w:pPr>
              <w:jc w:val="right"/>
              <w:rPr>
                <w:rFonts w:ascii="Arial" w:hAnsi="Arial" w:cs="Arial"/>
                <w:sz w:val="20"/>
                <w:szCs w:val="20"/>
              </w:rPr>
            </w:pPr>
          </w:p>
        </w:tc>
      </w:tr>
      <w:tr w:rsidR="00252FD8" w14:paraId="5201AF0F" w14:textId="77777777" w:rsidTr="00DF32BA">
        <w:trPr>
          <w:trHeight w:val="497"/>
        </w:trPr>
        <w:tc>
          <w:tcPr>
            <w:tcW w:w="704" w:type="dxa"/>
            <w:tcBorders>
              <w:top w:val="nil"/>
              <w:left w:val="nil"/>
              <w:bottom w:val="nil"/>
              <w:right w:val="nil"/>
            </w:tcBorders>
          </w:tcPr>
          <w:p w14:paraId="54927C61" w14:textId="1D953F3F" w:rsidR="00252FD8" w:rsidRPr="00B901C3" w:rsidRDefault="00252FD8" w:rsidP="00252FD8">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25.</w:t>
            </w:r>
          </w:p>
        </w:tc>
        <w:tc>
          <w:tcPr>
            <w:tcW w:w="6946" w:type="dxa"/>
            <w:tcBorders>
              <w:top w:val="nil"/>
              <w:left w:val="nil"/>
              <w:bottom w:val="nil"/>
              <w:right w:val="nil"/>
            </w:tcBorders>
          </w:tcPr>
          <w:p w14:paraId="12BA881B" w14:textId="3EEE1F0E" w:rsidR="00252FD8" w:rsidRPr="00B901C3" w:rsidRDefault="00252FD8" w:rsidP="00252FD8">
            <w:pPr>
              <w:rPr>
                <w:rFonts w:ascii="Arial" w:hAnsi="Arial" w:cs="Arial"/>
                <w:color w:val="1F4E79" w:themeColor="accent1" w:themeShade="80"/>
                <w:sz w:val="24"/>
                <w:szCs w:val="24"/>
              </w:rPr>
            </w:pPr>
            <w:r w:rsidRPr="00B901C3">
              <w:rPr>
                <w:rFonts w:ascii="Arial" w:hAnsi="Arial" w:cs="Arial"/>
                <w:b/>
                <w:color w:val="1F4E79" w:themeColor="accent1" w:themeShade="80"/>
                <w:sz w:val="24"/>
                <w:szCs w:val="24"/>
              </w:rPr>
              <w:t>REPORT FROM STANDING COMMITTEE FOR EMPLOYABILITY AND ENTERPRISE</w:t>
            </w:r>
          </w:p>
        </w:tc>
        <w:tc>
          <w:tcPr>
            <w:tcW w:w="2806" w:type="dxa"/>
            <w:tcBorders>
              <w:top w:val="nil"/>
              <w:left w:val="nil"/>
              <w:bottom w:val="nil"/>
              <w:right w:val="nil"/>
            </w:tcBorders>
          </w:tcPr>
          <w:p w14:paraId="190438BF" w14:textId="77777777" w:rsidR="00252FD8" w:rsidRPr="00B901C3" w:rsidRDefault="00252FD8" w:rsidP="00252FD8">
            <w:pPr>
              <w:jc w:val="right"/>
              <w:rPr>
                <w:rFonts w:ascii="Arial" w:hAnsi="Arial" w:cs="Arial"/>
                <w:color w:val="1F4E79" w:themeColor="accent1" w:themeShade="80"/>
                <w:sz w:val="24"/>
                <w:szCs w:val="24"/>
              </w:rPr>
            </w:pPr>
          </w:p>
        </w:tc>
      </w:tr>
      <w:tr w:rsidR="00252FD8" w14:paraId="34BED4CA" w14:textId="77777777" w:rsidTr="00DF32BA">
        <w:trPr>
          <w:trHeight w:val="256"/>
        </w:trPr>
        <w:tc>
          <w:tcPr>
            <w:tcW w:w="704" w:type="dxa"/>
            <w:tcBorders>
              <w:top w:val="nil"/>
              <w:left w:val="nil"/>
              <w:bottom w:val="nil"/>
              <w:right w:val="nil"/>
            </w:tcBorders>
          </w:tcPr>
          <w:p w14:paraId="25A5AAB7" w14:textId="6527D191" w:rsidR="00252FD8" w:rsidRPr="00B901C3" w:rsidRDefault="00252FD8" w:rsidP="00252FD8">
            <w:pPr>
              <w:rPr>
                <w:rFonts w:ascii="Arial" w:hAnsi="Arial" w:cs="Arial"/>
                <w:b/>
                <w:color w:val="1F4E79" w:themeColor="accent1" w:themeShade="80"/>
                <w:sz w:val="24"/>
                <w:szCs w:val="24"/>
              </w:rPr>
            </w:pPr>
            <w:r w:rsidRPr="00B901C3">
              <w:rPr>
                <w:rFonts w:ascii="Arial" w:hAnsi="Arial" w:cs="Arial"/>
                <w:b/>
                <w:color w:val="1F4E79" w:themeColor="accent1" w:themeShade="80"/>
                <w:sz w:val="24"/>
                <w:szCs w:val="24"/>
              </w:rPr>
              <w:t>25.1</w:t>
            </w:r>
          </w:p>
        </w:tc>
        <w:tc>
          <w:tcPr>
            <w:tcW w:w="6946" w:type="dxa"/>
            <w:tcBorders>
              <w:top w:val="nil"/>
              <w:left w:val="nil"/>
              <w:bottom w:val="nil"/>
              <w:right w:val="nil"/>
            </w:tcBorders>
          </w:tcPr>
          <w:p w14:paraId="5F930745" w14:textId="127F0421" w:rsidR="00252FD8" w:rsidRPr="00B901C3" w:rsidRDefault="002C4AEA" w:rsidP="00252FD8">
            <w:pPr>
              <w:rPr>
                <w:rFonts w:ascii="Arial" w:eastAsia="Times New Roman" w:hAnsi="Arial" w:cs="Arial"/>
                <w:bCs/>
                <w:color w:val="1F4E79" w:themeColor="accent1" w:themeShade="80"/>
                <w:sz w:val="24"/>
                <w:szCs w:val="24"/>
              </w:rPr>
            </w:pPr>
            <w:r w:rsidRPr="00B901C3">
              <w:rPr>
                <w:rFonts w:ascii="Arial" w:hAnsi="Arial" w:cs="Arial"/>
                <w:color w:val="1F4E79" w:themeColor="accent1" w:themeShade="80"/>
                <w:sz w:val="24"/>
                <w:szCs w:val="24"/>
              </w:rPr>
              <w:t xml:space="preserve">None to note. </w:t>
            </w:r>
          </w:p>
        </w:tc>
        <w:tc>
          <w:tcPr>
            <w:tcW w:w="2806" w:type="dxa"/>
            <w:tcBorders>
              <w:top w:val="nil"/>
              <w:left w:val="nil"/>
              <w:bottom w:val="nil"/>
              <w:right w:val="nil"/>
            </w:tcBorders>
          </w:tcPr>
          <w:p w14:paraId="268AC546" w14:textId="242D15F3" w:rsidR="00252FD8" w:rsidRPr="00B901C3" w:rsidRDefault="00B901C3" w:rsidP="00B901C3">
            <w:pPr>
              <w:jc w:val="right"/>
              <w:rPr>
                <w:rFonts w:ascii="Arial" w:hAnsi="Arial" w:cs="Arial"/>
                <w:color w:val="1F4E79" w:themeColor="accent1" w:themeShade="80"/>
                <w:sz w:val="24"/>
                <w:szCs w:val="24"/>
              </w:rPr>
            </w:pPr>
            <w:r w:rsidRPr="00B901C3">
              <w:rPr>
                <w:rFonts w:ascii="Arial" w:hAnsi="Arial" w:cs="Arial"/>
                <w:color w:val="1F4E79" w:themeColor="accent1" w:themeShade="80"/>
                <w:sz w:val="24"/>
                <w:szCs w:val="24"/>
              </w:rPr>
              <w:t>UTLC_2022_05_18_P25.1</w:t>
            </w:r>
          </w:p>
        </w:tc>
      </w:tr>
      <w:tr w:rsidR="00252FD8" w14:paraId="6768F617" w14:textId="77777777" w:rsidTr="00DF32BA">
        <w:trPr>
          <w:trHeight w:val="256"/>
        </w:trPr>
        <w:tc>
          <w:tcPr>
            <w:tcW w:w="704" w:type="dxa"/>
            <w:tcBorders>
              <w:top w:val="nil"/>
              <w:left w:val="nil"/>
              <w:bottom w:val="nil"/>
              <w:right w:val="nil"/>
            </w:tcBorders>
          </w:tcPr>
          <w:p w14:paraId="17F6125E" w14:textId="77777777"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562B507A" w14:textId="77777777" w:rsidR="00252FD8" w:rsidRDefault="00252FD8" w:rsidP="00252FD8">
            <w:pPr>
              <w:rPr>
                <w:rFonts w:ascii="Arial" w:hAnsi="Arial" w:cs="Arial"/>
              </w:rPr>
            </w:pPr>
          </w:p>
        </w:tc>
        <w:tc>
          <w:tcPr>
            <w:tcW w:w="2806" w:type="dxa"/>
            <w:tcBorders>
              <w:top w:val="nil"/>
              <w:left w:val="nil"/>
              <w:bottom w:val="nil"/>
              <w:right w:val="nil"/>
            </w:tcBorders>
          </w:tcPr>
          <w:p w14:paraId="56BB383A" w14:textId="77777777" w:rsidR="00252FD8" w:rsidRPr="003F50C0" w:rsidRDefault="00252FD8" w:rsidP="00252FD8">
            <w:pPr>
              <w:jc w:val="right"/>
              <w:rPr>
                <w:rFonts w:ascii="Arial" w:hAnsi="Arial" w:cs="Arial"/>
                <w:sz w:val="20"/>
                <w:szCs w:val="20"/>
              </w:rPr>
            </w:pPr>
          </w:p>
        </w:tc>
      </w:tr>
      <w:tr w:rsidR="00252FD8" w14:paraId="0AB8AC63" w14:textId="77777777" w:rsidTr="00DF32BA">
        <w:trPr>
          <w:trHeight w:val="256"/>
        </w:trPr>
        <w:tc>
          <w:tcPr>
            <w:tcW w:w="704" w:type="dxa"/>
            <w:tcBorders>
              <w:top w:val="nil"/>
              <w:left w:val="nil"/>
              <w:bottom w:val="nil"/>
              <w:right w:val="nil"/>
            </w:tcBorders>
          </w:tcPr>
          <w:p w14:paraId="40B5B536" w14:textId="094FA509"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26.</w:t>
            </w:r>
          </w:p>
        </w:tc>
        <w:tc>
          <w:tcPr>
            <w:tcW w:w="6946" w:type="dxa"/>
            <w:tcBorders>
              <w:top w:val="nil"/>
              <w:left w:val="nil"/>
              <w:bottom w:val="nil"/>
              <w:right w:val="nil"/>
            </w:tcBorders>
          </w:tcPr>
          <w:p w14:paraId="15F59ED4" w14:textId="77777777" w:rsidR="00252FD8" w:rsidRPr="00F562B2" w:rsidRDefault="00252FD8" w:rsidP="00252FD8">
            <w:pPr>
              <w:rPr>
                <w:rFonts w:ascii="Arial" w:eastAsia="Times New Roman" w:hAnsi="Arial" w:cs="Arial"/>
                <w:color w:val="1F4E79" w:themeColor="accent1" w:themeShade="80"/>
                <w:sz w:val="24"/>
                <w:szCs w:val="24"/>
              </w:rPr>
            </w:pPr>
            <w:r w:rsidRPr="00F562B2">
              <w:rPr>
                <w:rFonts w:ascii="Arial" w:hAnsi="Arial" w:cs="Arial"/>
                <w:b/>
                <w:color w:val="1F4E79" w:themeColor="accent1" w:themeShade="80"/>
                <w:sz w:val="24"/>
                <w:szCs w:val="24"/>
              </w:rPr>
              <w:t>REPORTS FROM PSRBs</w:t>
            </w:r>
          </w:p>
        </w:tc>
        <w:tc>
          <w:tcPr>
            <w:tcW w:w="2806" w:type="dxa"/>
            <w:tcBorders>
              <w:top w:val="nil"/>
              <w:left w:val="nil"/>
              <w:bottom w:val="nil"/>
              <w:right w:val="nil"/>
            </w:tcBorders>
          </w:tcPr>
          <w:p w14:paraId="0ADAE610" w14:textId="77777777" w:rsidR="00252FD8" w:rsidRPr="00F562B2" w:rsidRDefault="00252FD8" w:rsidP="00252FD8">
            <w:pPr>
              <w:jc w:val="right"/>
              <w:rPr>
                <w:rFonts w:ascii="Arial" w:hAnsi="Arial" w:cs="Arial"/>
                <w:color w:val="1F4E79" w:themeColor="accent1" w:themeShade="80"/>
                <w:sz w:val="24"/>
                <w:szCs w:val="24"/>
              </w:rPr>
            </w:pPr>
          </w:p>
        </w:tc>
      </w:tr>
      <w:tr w:rsidR="00252FD8" w:rsidRPr="00082783" w14:paraId="6D5CDD33" w14:textId="77777777" w:rsidTr="00DF32BA">
        <w:trPr>
          <w:trHeight w:val="1266"/>
        </w:trPr>
        <w:tc>
          <w:tcPr>
            <w:tcW w:w="704" w:type="dxa"/>
            <w:tcBorders>
              <w:top w:val="nil"/>
              <w:left w:val="nil"/>
              <w:bottom w:val="nil"/>
              <w:right w:val="nil"/>
            </w:tcBorders>
          </w:tcPr>
          <w:p w14:paraId="69BA0AC2" w14:textId="07A85303"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lastRenderedPageBreak/>
              <w:t>26.1</w:t>
            </w:r>
          </w:p>
        </w:tc>
        <w:tc>
          <w:tcPr>
            <w:tcW w:w="6946" w:type="dxa"/>
            <w:tcBorders>
              <w:top w:val="nil"/>
              <w:left w:val="nil"/>
              <w:bottom w:val="nil"/>
              <w:right w:val="nil"/>
            </w:tcBorders>
          </w:tcPr>
          <w:p w14:paraId="5C43FBEA" w14:textId="3CCF41EA" w:rsidR="00252FD8" w:rsidRPr="00F562B2" w:rsidRDefault="002C4AEA" w:rsidP="00252FD8">
            <w:pPr>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 xml:space="preserve">The Committee </w:t>
            </w:r>
            <w:r w:rsidR="00252FD8" w:rsidRPr="00F562B2">
              <w:rPr>
                <w:rFonts w:ascii="Arial" w:hAnsi="Arial" w:cs="Arial"/>
                <w:color w:val="1F4E79" w:themeColor="accent1" w:themeShade="80"/>
                <w:sz w:val="24"/>
                <w:szCs w:val="24"/>
              </w:rPr>
              <w:t>receive</w:t>
            </w:r>
            <w:r w:rsidRPr="00F562B2">
              <w:rPr>
                <w:rFonts w:ascii="Arial" w:hAnsi="Arial" w:cs="Arial"/>
                <w:color w:val="1F4E79" w:themeColor="accent1" w:themeShade="80"/>
                <w:sz w:val="24"/>
                <w:szCs w:val="24"/>
              </w:rPr>
              <w:t>d</w:t>
            </w:r>
            <w:r w:rsidR="00252FD8" w:rsidRPr="00F562B2">
              <w:rPr>
                <w:rFonts w:ascii="Arial" w:hAnsi="Arial" w:cs="Arial"/>
                <w:color w:val="1F4E79" w:themeColor="accent1" w:themeShade="80"/>
                <w:sz w:val="24"/>
                <w:szCs w:val="24"/>
              </w:rPr>
              <w:t xml:space="preserve"> the report from PSRB’s:</w:t>
            </w:r>
          </w:p>
          <w:p w14:paraId="789F8BD6" w14:textId="77777777" w:rsidR="00252FD8" w:rsidRPr="00F562B2" w:rsidRDefault="00252FD8" w:rsidP="00252FD8">
            <w:pPr>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 xml:space="preserve">IESCHES, The Institute of Environmental Sciences accreditation of BSc (Hons) Environmental and Analytical Science  </w:t>
            </w:r>
          </w:p>
          <w:p w14:paraId="213BA88B" w14:textId="0D0C7B4B" w:rsidR="00252FD8" w:rsidRPr="00F562B2" w:rsidRDefault="00252FD8" w:rsidP="00252FD8">
            <w:pPr>
              <w:rPr>
                <w:color w:val="1F4E79" w:themeColor="accent1" w:themeShade="80"/>
                <w:sz w:val="24"/>
                <w:szCs w:val="24"/>
              </w:rPr>
            </w:pPr>
            <w:r w:rsidRPr="00F562B2">
              <w:rPr>
                <w:rFonts w:ascii="Arial" w:hAnsi="Arial" w:cs="Arial"/>
                <w:color w:val="1F4E79" w:themeColor="accent1" w:themeShade="80"/>
                <w:sz w:val="24"/>
                <w:szCs w:val="24"/>
              </w:rPr>
              <w:t>Letter dated 05.04.2022, confirming accreditation from September 2021 to August 2026.</w:t>
            </w:r>
          </w:p>
        </w:tc>
        <w:tc>
          <w:tcPr>
            <w:tcW w:w="2806" w:type="dxa"/>
            <w:tcBorders>
              <w:top w:val="nil"/>
              <w:left w:val="nil"/>
              <w:bottom w:val="nil"/>
              <w:right w:val="nil"/>
            </w:tcBorders>
          </w:tcPr>
          <w:p w14:paraId="08BD9DD6" w14:textId="0A695B1D" w:rsidR="00252FD8" w:rsidRPr="00F562B2" w:rsidRDefault="00F562B2" w:rsidP="00F562B2">
            <w:pPr>
              <w:jc w:val="right"/>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UTLC_2022_05_18_P26.1</w:t>
            </w:r>
          </w:p>
        </w:tc>
      </w:tr>
      <w:tr w:rsidR="00252FD8" w:rsidRPr="00082783" w14:paraId="6D4647FF" w14:textId="77777777" w:rsidTr="00DF32BA">
        <w:trPr>
          <w:trHeight w:val="256"/>
        </w:trPr>
        <w:tc>
          <w:tcPr>
            <w:tcW w:w="704" w:type="dxa"/>
            <w:tcBorders>
              <w:top w:val="nil"/>
              <w:left w:val="nil"/>
              <w:bottom w:val="nil"/>
              <w:right w:val="nil"/>
            </w:tcBorders>
          </w:tcPr>
          <w:p w14:paraId="1E9EF227" w14:textId="77777777"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52BC8920" w14:textId="77777777" w:rsidR="00252FD8" w:rsidRDefault="00252FD8" w:rsidP="00252FD8">
            <w:pPr>
              <w:rPr>
                <w:rFonts w:ascii="Arial" w:hAnsi="Arial" w:cs="Arial"/>
              </w:rPr>
            </w:pPr>
          </w:p>
        </w:tc>
        <w:tc>
          <w:tcPr>
            <w:tcW w:w="2806" w:type="dxa"/>
            <w:tcBorders>
              <w:top w:val="nil"/>
              <w:left w:val="nil"/>
              <w:bottom w:val="nil"/>
              <w:right w:val="nil"/>
            </w:tcBorders>
          </w:tcPr>
          <w:p w14:paraId="25E56AFE" w14:textId="77777777" w:rsidR="00252FD8" w:rsidRPr="003F50C0" w:rsidRDefault="00252FD8" w:rsidP="00252FD8">
            <w:pPr>
              <w:jc w:val="right"/>
              <w:rPr>
                <w:rFonts w:ascii="Arial" w:hAnsi="Arial" w:cs="Arial"/>
                <w:sz w:val="20"/>
                <w:szCs w:val="20"/>
              </w:rPr>
            </w:pPr>
          </w:p>
        </w:tc>
      </w:tr>
      <w:tr w:rsidR="00252FD8" w:rsidRPr="001A4007" w14:paraId="7B9CBD84" w14:textId="77777777" w:rsidTr="00DF32BA">
        <w:trPr>
          <w:trHeight w:val="512"/>
        </w:trPr>
        <w:tc>
          <w:tcPr>
            <w:tcW w:w="704" w:type="dxa"/>
            <w:tcBorders>
              <w:top w:val="nil"/>
              <w:left w:val="nil"/>
              <w:bottom w:val="nil"/>
              <w:right w:val="nil"/>
            </w:tcBorders>
          </w:tcPr>
          <w:p w14:paraId="3C44E48B" w14:textId="6E3CD487"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27.</w:t>
            </w:r>
          </w:p>
        </w:tc>
        <w:tc>
          <w:tcPr>
            <w:tcW w:w="6946" w:type="dxa"/>
            <w:tcBorders>
              <w:top w:val="nil"/>
              <w:left w:val="nil"/>
              <w:bottom w:val="nil"/>
              <w:right w:val="nil"/>
            </w:tcBorders>
          </w:tcPr>
          <w:p w14:paraId="3A007958" w14:textId="69FCB355" w:rsidR="00252FD8" w:rsidRPr="00F562B2" w:rsidRDefault="00252FD8" w:rsidP="00252FD8">
            <w:pPr>
              <w:rPr>
                <w:rFonts w:ascii="Arial" w:hAnsi="Arial" w:cs="Arial"/>
                <w:color w:val="1F4E79" w:themeColor="accent1" w:themeShade="80"/>
                <w:sz w:val="24"/>
                <w:szCs w:val="24"/>
              </w:rPr>
            </w:pPr>
            <w:r w:rsidRPr="00F562B2">
              <w:rPr>
                <w:rFonts w:ascii="Arial" w:hAnsi="Arial" w:cs="Arial"/>
                <w:b/>
                <w:color w:val="1F4E79" w:themeColor="accent1" w:themeShade="80"/>
                <w:sz w:val="24"/>
                <w:szCs w:val="24"/>
              </w:rPr>
              <w:t>REPORT FROM STANDING COMMITTEE FOR COLLABORATIVE PROVISION</w:t>
            </w:r>
          </w:p>
        </w:tc>
        <w:tc>
          <w:tcPr>
            <w:tcW w:w="2806" w:type="dxa"/>
            <w:tcBorders>
              <w:top w:val="nil"/>
              <w:left w:val="nil"/>
              <w:bottom w:val="nil"/>
              <w:right w:val="nil"/>
            </w:tcBorders>
          </w:tcPr>
          <w:p w14:paraId="3F3BFE6F" w14:textId="77777777" w:rsidR="00252FD8" w:rsidRPr="00F562B2" w:rsidRDefault="00252FD8" w:rsidP="00252FD8">
            <w:pPr>
              <w:jc w:val="right"/>
              <w:rPr>
                <w:rFonts w:ascii="Arial" w:hAnsi="Arial" w:cs="Arial"/>
                <w:color w:val="1F4E79" w:themeColor="accent1" w:themeShade="80"/>
                <w:sz w:val="24"/>
                <w:szCs w:val="24"/>
              </w:rPr>
            </w:pPr>
          </w:p>
        </w:tc>
      </w:tr>
      <w:tr w:rsidR="00252FD8" w14:paraId="4CB9901C" w14:textId="77777777" w:rsidTr="00DF32BA">
        <w:trPr>
          <w:trHeight w:val="256"/>
        </w:trPr>
        <w:tc>
          <w:tcPr>
            <w:tcW w:w="704" w:type="dxa"/>
            <w:tcBorders>
              <w:top w:val="nil"/>
              <w:left w:val="nil"/>
              <w:bottom w:val="nil"/>
              <w:right w:val="nil"/>
            </w:tcBorders>
          </w:tcPr>
          <w:p w14:paraId="471F5EF3" w14:textId="2F250659"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27.1</w:t>
            </w:r>
          </w:p>
        </w:tc>
        <w:tc>
          <w:tcPr>
            <w:tcW w:w="6946" w:type="dxa"/>
            <w:tcBorders>
              <w:top w:val="nil"/>
              <w:left w:val="nil"/>
              <w:bottom w:val="nil"/>
              <w:right w:val="nil"/>
            </w:tcBorders>
          </w:tcPr>
          <w:p w14:paraId="198A5CA2" w14:textId="3B1B6843" w:rsidR="00252FD8" w:rsidRPr="00F562B2" w:rsidRDefault="002C4AEA" w:rsidP="00252FD8">
            <w:pPr>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 xml:space="preserve">None to note. </w:t>
            </w:r>
          </w:p>
        </w:tc>
        <w:tc>
          <w:tcPr>
            <w:tcW w:w="2806" w:type="dxa"/>
            <w:tcBorders>
              <w:top w:val="nil"/>
              <w:left w:val="nil"/>
              <w:bottom w:val="nil"/>
              <w:right w:val="nil"/>
            </w:tcBorders>
          </w:tcPr>
          <w:p w14:paraId="6C1069D9" w14:textId="230EAE89" w:rsidR="00252FD8" w:rsidRPr="00F562B2" w:rsidRDefault="00252FD8" w:rsidP="00252FD8">
            <w:pPr>
              <w:jc w:val="right"/>
              <w:rPr>
                <w:rFonts w:ascii="Arial" w:hAnsi="Arial" w:cs="Arial"/>
                <w:color w:val="1F4E79" w:themeColor="accent1" w:themeShade="80"/>
                <w:sz w:val="24"/>
                <w:szCs w:val="24"/>
              </w:rPr>
            </w:pPr>
          </w:p>
        </w:tc>
      </w:tr>
      <w:tr w:rsidR="00252FD8" w14:paraId="22DAF994" w14:textId="77777777" w:rsidTr="00DF32BA">
        <w:trPr>
          <w:trHeight w:val="241"/>
        </w:trPr>
        <w:tc>
          <w:tcPr>
            <w:tcW w:w="704" w:type="dxa"/>
            <w:tcBorders>
              <w:top w:val="nil"/>
              <w:left w:val="nil"/>
              <w:bottom w:val="nil"/>
              <w:right w:val="nil"/>
            </w:tcBorders>
          </w:tcPr>
          <w:p w14:paraId="05DA59C4" w14:textId="77777777" w:rsidR="00252FD8" w:rsidRPr="00F562B2" w:rsidRDefault="00252FD8" w:rsidP="00252FD8">
            <w:pPr>
              <w:rPr>
                <w:rFonts w:ascii="Arial" w:hAnsi="Arial" w:cs="Arial"/>
                <w:b/>
                <w:color w:val="1F4E79" w:themeColor="accent1" w:themeShade="80"/>
                <w:sz w:val="24"/>
                <w:szCs w:val="24"/>
              </w:rPr>
            </w:pPr>
          </w:p>
        </w:tc>
        <w:tc>
          <w:tcPr>
            <w:tcW w:w="6946" w:type="dxa"/>
            <w:tcBorders>
              <w:top w:val="nil"/>
              <w:left w:val="nil"/>
              <w:bottom w:val="nil"/>
              <w:right w:val="nil"/>
            </w:tcBorders>
          </w:tcPr>
          <w:p w14:paraId="24B274A5" w14:textId="77777777" w:rsidR="00252FD8" w:rsidRPr="00F562B2" w:rsidRDefault="00252FD8" w:rsidP="00252FD8">
            <w:pPr>
              <w:rPr>
                <w:rFonts w:ascii="Arial" w:hAnsi="Arial" w:cs="Arial"/>
                <w:b/>
                <w:color w:val="1F4E79" w:themeColor="accent1" w:themeShade="80"/>
                <w:sz w:val="24"/>
                <w:szCs w:val="24"/>
              </w:rPr>
            </w:pPr>
          </w:p>
        </w:tc>
        <w:tc>
          <w:tcPr>
            <w:tcW w:w="2806" w:type="dxa"/>
            <w:tcBorders>
              <w:top w:val="nil"/>
              <w:left w:val="nil"/>
              <w:bottom w:val="nil"/>
              <w:right w:val="nil"/>
            </w:tcBorders>
          </w:tcPr>
          <w:p w14:paraId="6D319982" w14:textId="77777777" w:rsidR="00252FD8" w:rsidRPr="00F562B2" w:rsidRDefault="00252FD8" w:rsidP="00252FD8">
            <w:pPr>
              <w:jc w:val="right"/>
              <w:rPr>
                <w:rFonts w:ascii="Arial" w:hAnsi="Arial" w:cs="Arial"/>
                <w:color w:val="1F4E79" w:themeColor="accent1" w:themeShade="80"/>
                <w:sz w:val="24"/>
                <w:szCs w:val="24"/>
              </w:rPr>
            </w:pPr>
          </w:p>
        </w:tc>
      </w:tr>
      <w:tr w:rsidR="00252FD8" w14:paraId="6E810370" w14:textId="77777777" w:rsidTr="00DF32BA">
        <w:trPr>
          <w:trHeight w:val="256"/>
        </w:trPr>
        <w:tc>
          <w:tcPr>
            <w:tcW w:w="704" w:type="dxa"/>
            <w:tcBorders>
              <w:top w:val="nil"/>
              <w:left w:val="nil"/>
              <w:bottom w:val="nil"/>
              <w:right w:val="nil"/>
            </w:tcBorders>
          </w:tcPr>
          <w:p w14:paraId="45A5653A" w14:textId="398AF273"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28.</w:t>
            </w:r>
          </w:p>
        </w:tc>
        <w:tc>
          <w:tcPr>
            <w:tcW w:w="6946" w:type="dxa"/>
            <w:tcBorders>
              <w:top w:val="nil"/>
              <w:left w:val="nil"/>
              <w:bottom w:val="nil"/>
              <w:right w:val="nil"/>
            </w:tcBorders>
          </w:tcPr>
          <w:p w14:paraId="75294054" w14:textId="77777777"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REPORTS FROM VALIDATION PANELS</w:t>
            </w:r>
          </w:p>
        </w:tc>
        <w:tc>
          <w:tcPr>
            <w:tcW w:w="2806" w:type="dxa"/>
            <w:tcBorders>
              <w:top w:val="nil"/>
              <w:left w:val="nil"/>
              <w:bottom w:val="nil"/>
              <w:right w:val="nil"/>
            </w:tcBorders>
          </w:tcPr>
          <w:p w14:paraId="4A95C3B0" w14:textId="77777777" w:rsidR="00252FD8" w:rsidRPr="00F562B2" w:rsidRDefault="00252FD8" w:rsidP="00252FD8">
            <w:pPr>
              <w:jc w:val="right"/>
              <w:rPr>
                <w:rFonts w:ascii="Arial" w:hAnsi="Arial" w:cs="Arial"/>
                <w:color w:val="1F4E79" w:themeColor="accent1" w:themeShade="80"/>
                <w:sz w:val="24"/>
                <w:szCs w:val="24"/>
              </w:rPr>
            </w:pPr>
          </w:p>
        </w:tc>
      </w:tr>
      <w:tr w:rsidR="00252FD8" w14:paraId="4DFD527B" w14:textId="77777777" w:rsidTr="00DF32BA">
        <w:trPr>
          <w:trHeight w:val="256"/>
        </w:trPr>
        <w:tc>
          <w:tcPr>
            <w:tcW w:w="704" w:type="dxa"/>
            <w:tcBorders>
              <w:top w:val="nil"/>
              <w:left w:val="nil"/>
              <w:bottom w:val="nil"/>
              <w:right w:val="nil"/>
            </w:tcBorders>
          </w:tcPr>
          <w:p w14:paraId="666DCAFC" w14:textId="65006E0A"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28.1</w:t>
            </w:r>
          </w:p>
        </w:tc>
        <w:tc>
          <w:tcPr>
            <w:tcW w:w="6946" w:type="dxa"/>
            <w:tcBorders>
              <w:top w:val="nil"/>
              <w:left w:val="nil"/>
              <w:bottom w:val="nil"/>
              <w:right w:val="nil"/>
            </w:tcBorders>
          </w:tcPr>
          <w:p w14:paraId="1D110396" w14:textId="7A157115" w:rsidR="00252FD8" w:rsidRPr="00F562B2" w:rsidRDefault="00F97E65" w:rsidP="00252FD8">
            <w:pPr>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The Committee noted the validation report. The Chair advised she will review the Drama report with Ruth Stoker as it will sent back to the school.</w:t>
            </w:r>
          </w:p>
        </w:tc>
        <w:tc>
          <w:tcPr>
            <w:tcW w:w="2806" w:type="dxa"/>
            <w:tcBorders>
              <w:top w:val="nil"/>
              <w:left w:val="nil"/>
              <w:bottom w:val="nil"/>
              <w:right w:val="nil"/>
            </w:tcBorders>
          </w:tcPr>
          <w:p w14:paraId="27B2F4A2" w14:textId="77777777" w:rsidR="00F562B2" w:rsidRPr="00F562B2" w:rsidRDefault="00F562B2" w:rsidP="00F562B2">
            <w:pPr>
              <w:jc w:val="right"/>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UTLC_2022_05_18_P28.1</w:t>
            </w:r>
          </w:p>
          <w:p w14:paraId="30C34365" w14:textId="544118FE" w:rsidR="00252FD8" w:rsidRPr="00F562B2" w:rsidRDefault="00F97E65" w:rsidP="00252FD8">
            <w:pPr>
              <w:jc w:val="right"/>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 xml:space="preserve">Chair and Ruth Stoker </w:t>
            </w:r>
          </w:p>
        </w:tc>
      </w:tr>
      <w:tr w:rsidR="00252FD8" w14:paraId="50F57190" w14:textId="77777777" w:rsidTr="00DF32BA">
        <w:trPr>
          <w:trHeight w:val="256"/>
        </w:trPr>
        <w:tc>
          <w:tcPr>
            <w:tcW w:w="704" w:type="dxa"/>
            <w:tcBorders>
              <w:top w:val="nil"/>
              <w:left w:val="nil"/>
              <w:bottom w:val="nil"/>
              <w:right w:val="nil"/>
            </w:tcBorders>
          </w:tcPr>
          <w:p w14:paraId="0A521BE4" w14:textId="77777777" w:rsidR="00252FD8" w:rsidRPr="00F562B2" w:rsidRDefault="00252FD8" w:rsidP="00252FD8">
            <w:pPr>
              <w:rPr>
                <w:rFonts w:ascii="Arial" w:hAnsi="Arial" w:cs="Arial"/>
                <w:b/>
                <w:color w:val="1F4E79" w:themeColor="accent1" w:themeShade="80"/>
                <w:sz w:val="24"/>
                <w:szCs w:val="24"/>
              </w:rPr>
            </w:pPr>
          </w:p>
        </w:tc>
        <w:tc>
          <w:tcPr>
            <w:tcW w:w="6946" w:type="dxa"/>
            <w:tcBorders>
              <w:top w:val="nil"/>
              <w:left w:val="nil"/>
              <w:bottom w:val="nil"/>
              <w:right w:val="nil"/>
            </w:tcBorders>
          </w:tcPr>
          <w:p w14:paraId="0B04C030" w14:textId="77777777" w:rsidR="00252FD8" w:rsidRPr="00F562B2" w:rsidRDefault="00252FD8" w:rsidP="00252FD8">
            <w:pPr>
              <w:rPr>
                <w:rFonts w:ascii="Arial" w:hAnsi="Arial" w:cs="Arial"/>
                <w:color w:val="1F4E79" w:themeColor="accent1" w:themeShade="80"/>
                <w:sz w:val="24"/>
                <w:szCs w:val="24"/>
              </w:rPr>
            </w:pPr>
          </w:p>
        </w:tc>
        <w:tc>
          <w:tcPr>
            <w:tcW w:w="2806" w:type="dxa"/>
            <w:tcBorders>
              <w:top w:val="nil"/>
              <w:left w:val="nil"/>
              <w:bottom w:val="nil"/>
              <w:right w:val="nil"/>
            </w:tcBorders>
          </w:tcPr>
          <w:p w14:paraId="504DBA6B" w14:textId="77777777" w:rsidR="00252FD8" w:rsidRPr="00F562B2" w:rsidRDefault="00252FD8" w:rsidP="00252FD8">
            <w:pPr>
              <w:jc w:val="right"/>
              <w:rPr>
                <w:rFonts w:ascii="Arial" w:hAnsi="Arial" w:cs="Arial"/>
                <w:color w:val="1F4E79" w:themeColor="accent1" w:themeShade="80"/>
                <w:sz w:val="24"/>
                <w:szCs w:val="24"/>
              </w:rPr>
            </w:pPr>
          </w:p>
        </w:tc>
      </w:tr>
      <w:tr w:rsidR="00252FD8" w14:paraId="660D5BA8" w14:textId="77777777" w:rsidTr="00DF32BA">
        <w:trPr>
          <w:trHeight w:val="256"/>
        </w:trPr>
        <w:tc>
          <w:tcPr>
            <w:tcW w:w="704" w:type="dxa"/>
            <w:tcBorders>
              <w:top w:val="nil"/>
              <w:left w:val="nil"/>
              <w:bottom w:val="nil"/>
              <w:right w:val="nil"/>
            </w:tcBorders>
          </w:tcPr>
          <w:p w14:paraId="73128138" w14:textId="0766D366"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29.</w:t>
            </w:r>
          </w:p>
        </w:tc>
        <w:tc>
          <w:tcPr>
            <w:tcW w:w="6946" w:type="dxa"/>
            <w:tcBorders>
              <w:top w:val="nil"/>
              <w:left w:val="nil"/>
              <w:bottom w:val="nil"/>
              <w:right w:val="nil"/>
            </w:tcBorders>
          </w:tcPr>
          <w:p w14:paraId="27F42E5E" w14:textId="77777777" w:rsidR="00252FD8" w:rsidRPr="00F562B2" w:rsidRDefault="00252FD8" w:rsidP="00252FD8">
            <w:pPr>
              <w:rPr>
                <w:rFonts w:ascii="Arial" w:hAnsi="Arial" w:cs="Arial"/>
                <w:color w:val="1F4E79" w:themeColor="accent1" w:themeShade="80"/>
                <w:sz w:val="24"/>
                <w:szCs w:val="24"/>
              </w:rPr>
            </w:pPr>
            <w:r w:rsidRPr="00F562B2">
              <w:rPr>
                <w:rFonts w:ascii="Arial" w:hAnsi="Arial" w:cs="Arial"/>
                <w:b/>
                <w:color w:val="1F4E79" w:themeColor="accent1" w:themeShade="80"/>
                <w:sz w:val="24"/>
                <w:szCs w:val="24"/>
              </w:rPr>
              <w:t>REPORTS FROM SUBJECT REVIEW PANELS</w:t>
            </w:r>
          </w:p>
        </w:tc>
        <w:tc>
          <w:tcPr>
            <w:tcW w:w="2806" w:type="dxa"/>
            <w:tcBorders>
              <w:top w:val="nil"/>
              <w:left w:val="nil"/>
              <w:bottom w:val="nil"/>
              <w:right w:val="nil"/>
            </w:tcBorders>
          </w:tcPr>
          <w:p w14:paraId="5DA38AB6" w14:textId="77777777" w:rsidR="00252FD8" w:rsidRPr="00F562B2" w:rsidRDefault="00252FD8" w:rsidP="00252FD8">
            <w:pPr>
              <w:jc w:val="right"/>
              <w:rPr>
                <w:rFonts w:ascii="Arial" w:hAnsi="Arial" w:cs="Arial"/>
                <w:color w:val="1F4E79" w:themeColor="accent1" w:themeShade="80"/>
                <w:sz w:val="24"/>
                <w:szCs w:val="24"/>
              </w:rPr>
            </w:pPr>
          </w:p>
        </w:tc>
      </w:tr>
      <w:tr w:rsidR="00252FD8" w14:paraId="59514A5B" w14:textId="77777777" w:rsidTr="00DF32BA">
        <w:trPr>
          <w:trHeight w:val="768"/>
        </w:trPr>
        <w:tc>
          <w:tcPr>
            <w:tcW w:w="704" w:type="dxa"/>
            <w:tcBorders>
              <w:top w:val="nil"/>
              <w:left w:val="nil"/>
              <w:bottom w:val="nil"/>
              <w:right w:val="nil"/>
            </w:tcBorders>
          </w:tcPr>
          <w:p w14:paraId="29821952" w14:textId="18BFD71E" w:rsidR="00252FD8" w:rsidRPr="00F562B2" w:rsidRDefault="00252FD8" w:rsidP="00252FD8">
            <w:pPr>
              <w:rPr>
                <w:rFonts w:ascii="Arial" w:hAnsi="Arial" w:cs="Arial"/>
                <w:b/>
                <w:color w:val="1F4E79" w:themeColor="accent1" w:themeShade="80"/>
                <w:sz w:val="24"/>
                <w:szCs w:val="24"/>
              </w:rPr>
            </w:pPr>
            <w:r w:rsidRPr="00F562B2">
              <w:rPr>
                <w:rFonts w:ascii="Arial" w:hAnsi="Arial" w:cs="Arial"/>
                <w:b/>
                <w:color w:val="1F4E79" w:themeColor="accent1" w:themeShade="80"/>
                <w:sz w:val="24"/>
                <w:szCs w:val="24"/>
              </w:rPr>
              <w:t>29.1</w:t>
            </w:r>
          </w:p>
        </w:tc>
        <w:tc>
          <w:tcPr>
            <w:tcW w:w="6946" w:type="dxa"/>
            <w:tcBorders>
              <w:top w:val="nil"/>
              <w:left w:val="nil"/>
              <w:bottom w:val="nil"/>
              <w:right w:val="nil"/>
            </w:tcBorders>
          </w:tcPr>
          <w:p w14:paraId="7F1217BB" w14:textId="6F977516" w:rsidR="00252FD8" w:rsidRPr="00F562B2" w:rsidRDefault="00252FD8" w:rsidP="00252FD8">
            <w:pPr>
              <w:rPr>
                <w:rFonts w:ascii="Arial" w:hAnsi="Arial" w:cs="Arial"/>
                <w:b/>
                <w:color w:val="1F4E79" w:themeColor="accent1" w:themeShade="80"/>
                <w:sz w:val="24"/>
                <w:szCs w:val="24"/>
              </w:rPr>
            </w:pPr>
            <w:r w:rsidRPr="00F562B2">
              <w:rPr>
                <w:rFonts w:ascii="Arial" w:hAnsi="Arial" w:cs="Arial"/>
                <w:color w:val="1F4E79" w:themeColor="accent1" w:themeShade="80"/>
                <w:sz w:val="24"/>
                <w:szCs w:val="24"/>
              </w:rPr>
              <w:t>T</w:t>
            </w:r>
            <w:r w:rsidR="00F97E65" w:rsidRPr="00F562B2">
              <w:rPr>
                <w:rFonts w:ascii="Arial" w:hAnsi="Arial" w:cs="Arial"/>
                <w:color w:val="1F4E79" w:themeColor="accent1" w:themeShade="80"/>
                <w:sz w:val="24"/>
                <w:szCs w:val="24"/>
              </w:rPr>
              <w:t xml:space="preserve">he Committee </w:t>
            </w:r>
            <w:r w:rsidRPr="00F562B2">
              <w:rPr>
                <w:rFonts w:ascii="Arial" w:hAnsi="Arial" w:cs="Arial"/>
                <w:color w:val="1F4E79" w:themeColor="accent1" w:themeShade="80"/>
                <w:sz w:val="24"/>
                <w:szCs w:val="24"/>
              </w:rPr>
              <w:t>receive</w:t>
            </w:r>
            <w:r w:rsidR="00F97E65" w:rsidRPr="00F562B2">
              <w:rPr>
                <w:rFonts w:ascii="Arial" w:hAnsi="Arial" w:cs="Arial"/>
                <w:color w:val="1F4E79" w:themeColor="accent1" w:themeShade="80"/>
                <w:sz w:val="24"/>
                <w:szCs w:val="24"/>
              </w:rPr>
              <w:t>d</w:t>
            </w:r>
            <w:r w:rsidRPr="00F562B2">
              <w:rPr>
                <w:rFonts w:ascii="Arial" w:hAnsi="Arial" w:cs="Arial"/>
                <w:color w:val="1F4E79" w:themeColor="accent1" w:themeShade="80"/>
                <w:sz w:val="24"/>
                <w:szCs w:val="24"/>
              </w:rPr>
              <w:t xml:space="preserve"> and note</w:t>
            </w:r>
            <w:r w:rsidR="00F97E65" w:rsidRPr="00F562B2">
              <w:rPr>
                <w:rFonts w:ascii="Arial" w:hAnsi="Arial" w:cs="Arial"/>
                <w:color w:val="1F4E79" w:themeColor="accent1" w:themeShade="80"/>
                <w:sz w:val="24"/>
                <w:szCs w:val="24"/>
              </w:rPr>
              <w:t>d</w:t>
            </w:r>
            <w:r w:rsidRPr="00F562B2">
              <w:rPr>
                <w:rFonts w:ascii="Arial" w:hAnsi="Arial" w:cs="Arial"/>
                <w:color w:val="1F4E79" w:themeColor="accent1" w:themeShade="80"/>
                <w:sz w:val="24"/>
                <w:szCs w:val="24"/>
              </w:rPr>
              <w:t xml:space="preserve"> </w:t>
            </w:r>
            <w:r w:rsidR="00F97E65" w:rsidRPr="00F562B2">
              <w:rPr>
                <w:rFonts w:ascii="Arial" w:hAnsi="Arial" w:cs="Arial"/>
                <w:color w:val="1F4E79" w:themeColor="accent1" w:themeShade="80"/>
                <w:sz w:val="24"/>
                <w:szCs w:val="24"/>
              </w:rPr>
              <w:t xml:space="preserve">the </w:t>
            </w:r>
            <w:r w:rsidRPr="00F562B2">
              <w:rPr>
                <w:rFonts w:ascii="Arial" w:hAnsi="Arial" w:cs="Arial"/>
                <w:color w:val="1F4E79" w:themeColor="accent1" w:themeShade="80"/>
                <w:sz w:val="24"/>
                <w:szCs w:val="24"/>
              </w:rPr>
              <w:t>report of the Subject Review of Hospitality and Events Management and Marketing subject areas held on 07 June 2019 and School response noted by School Board on 25 October 2021.</w:t>
            </w:r>
          </w:p>
        </w:tc>
        <w:tc>
          <w:tcPr>
            <w:tcW w:w="2806" w:type="dxa"/>
            <w:tcBorders>
              <w:top w:val="nil"/>
              <w:left w:val="nil"/>
              <w:bottom w:val="nil"/>
              <w:right w:val="nil"/>
            </w:tcBorders>
          </w:tcPr>
          <w:p w14:paraId="0456C846" w14:textId="77777777" w:rsidR="00F562B2" w:rsidRPr="00F562B2" w:rsidRDefault="00F562B2" w:rsidP="00F562B2">
            <w:pPr>
              <w:jc w:val="right"/>
              <w:rPr>
                <w:rFonts w:ascii="Arial" w:hAnsi="Arial" w:cs="Arial"/>
                <w:color w:val="1F4E79" w:themeColor="accent1" w:themeShade="80"/>
                <w:sz w:val="24"/>
                <w:szCs w:val="24"/>
              </w:rPr>
            </w:pPr>
            <w:r w:rsidRPr="00F562B2">
              <w:rPr>
                <w:rFonts w:ascii="Arial" w:hAnsi="Arial" w:cs="Arial"/>
                <w:color w:val="1F4E79" w:themeColor="accent1" w:themeShade="80"/>
                <w:sz w:val="24"/>
                <w:szCs w:val="24"/>
              </w:rPr>
              <w:t>UTLC_2022_05_18_P29.1</w:t>
            </w:r>
          </w:p>
          <w:p w14:paraId="742562EE" w14:textId="2C0F2B0D" w:rsidR="00252FD8" w:rsidRPr="00F562B2" w:rsidRDefault="00252FD8" w:rsidP="00252FD8">
            <w:pPr>
              <w:jc w:val="right"/>
              <w:rPr>
                <w:rFonts w:ascii="Arial" w:hAnsi="Arial" w:cs="Arial"/>
                <w:color w:val="1F4E79" w:themeColor="accent1" w:themeShade="80"/>
                <w:sz w:val="24"/>
                <w:szCs w:val="24"/>
              </w:rPr>
            </w:pPr>
          </w:p>
        </w:tc>
      </w:tr>
      <w:tr w:rsidR="00252FD8" w:rsidRPr="00BF584B" w14:paraId="139A03BD" w14:textId="77777777" w:rsidTr="00DF32BA">
        <w:trPr>
          <w:trHeight w:val="241"/>
        </w:trPr>
        <w:tc>
          <w:tcPr>
            <w:tcW w:w="704" w:type="dxa"/>
            <w:tcBorders>
              <w:top w:val="nil"/>
              <w:left w:val="nil"/>
              <w:bottom w:val="nil"/>
              <w:right w:val="nil"/>
            </w:tcBorders>
          </w:tcPr>
          <w:p w14:paraId="1E9E75AE" w14:textId="77777777"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401547E9" w14:textId="77777777" w:rsidR="00252FD8" w:rsidRDefault="00252FD8" w:rsidP="00252FD8">
            <w:pPr>
              <w:rPr>
                <w:rFonts w:ascii="Arial" w:hAnsi="Arial" w:cs="Arial"/>
                <w:b/>
              </w:rPr>
            </w:pPr>
          </w:p>
        </w:tc>
        <w:tc>
          <w:tcPr>
            <w:tcW w:w="2806" w:type="dxa"/>
            <w:tcBorders>
              <w:top w:val="nil"/>
              <w:left w:val="nil"/>
              <w:bottom w:val="nil"/>
              <w:right w:val="nil"/>
            </w:tcBorders>
          </w:tcPr>
          <w:p w14:paraId="0B749C3A" w14:textId="77777777" w:rsidR="00252FD8" w:rsidRPr="00E10574" w:rsidRDefault="00252FD8" w:rsidP="00252FD8">
            <w:pPr>
              <w:jc w:val="right"/>
              <w:rPr>
                <w:rFonts w:ascii="Arial" w:hAnsi="Arial" w:cs="Arial"/>
                <w:color w:val="FF0000"/>
                <w:sz w:val="20"/>
                <w:szCs w:val="20"/>
              </w:rPr>
            </w:pPr>
          </w:p>
        </w:tc>
      </w:tr>
      <w:tr w:rsidR="00252FD8" w14:paraId="27D448E6" w14:textId="77777777" w:rsidTr="00DF32BA">
        <w:trPr>
          <w:trHeight w:val="256"/>
        </w:trPr>
        <w:tc>
          <w:tcPr>
            <w:tcW w:w="704" w:type="dxa"/>
            <w:tcBorders>
              <w:top w:val="nil"/>
              <w:left w:val="nil"/>
              <w:bottom w:val="nil"/>
              <w:right w:val="nil"/>
            </w:tcBorders>
          </w:tcPr>
          <w:p w14:paraId="168E12A6" w14:textId="4A54B67B"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30.</w:t>
            </w:r>
          </w:p>
        </w:tc>
        <w:tc>
          <w:tcPr>
            <w:tcW w:w="6946" w:type="dxa"/>
            <w:tcBorders>
              <w:top w:val="nil"/>
              <w:left w:val="nil"/>
              <w:bottom w:val="nil"/>
              <w:right w:val="nil"/>
            </w:tcBorders>
          </w:tcPr>
          <w:p w14:paraId="636E2B7E" w14:textId="77777777"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SCHOOL TEACHING AND LEARNING COMMITTEE MINUTES</w:t>
            </w:r>
          </w:p>
        </w:tc>
        <w:tc>
          <w:tcPr>
            <w:tcW w:w="2806" w:type="dxa"/>
            <w:tcBorders>
              <w:top w:val="nil"/>
              <w:left w:val="nil"/>
              <w:bottom w:val="nil"/>
              <w:right w:val="nil"/>
            </w:tcBorders>
          </w:tcPr>
          <w:p w14:paraId="14875BAA" w14:textId="4E549B84" w:rsidR="00252FD8" w:rsidRPr="00830994" w:rsidRDefault="00252FD8" w:rsidP="00252FD8">
            <w:pPr>
              <w:rPr>
                <w:rFonts w:ascii="Arial" w:hAnsi="Arial" w:cs="Arial"/>
                <w:color w:val="1F4E79" w:themeColor="accent1" w:themeShade="80"/>
                <w:sz w:val="24"/>
                <w:szCs w:val="24"/>
              </w:rPr>
            </w:pPr>
          </w:p>
        </w:tc>
      </w:tr>
      <w:tr w:rsidR="00252FD8" w14:paraId="2E83CD0B" w14:textId="77777777" w:rsidTr="00DF32BA">
        <w:trPr>
          <w:trHeight w:val="256"/>
        </w:trPr>
        <w:tc>
          <w:tcPr>
            <w:tcW w:w="704" w:type="dxa"/>
            <w:tcBorders>
              <w:top w:val="nil"/>
              <w:left w:val="nil"/>
              <w:bottom w:val="nil"/>
              <w:right w:val="nil"/>
            </w:tcBorders>
          </w:tcPr>
          <w:p w14:paraId="15FD659E" w14:textId="043F9D06"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30.1</w:t>
            </w:r>
          </w:p>
        </w:tc>
        <w:tc>
          <w:tcPr>
            <w:tcW w:w="6946" w:type="dxa"/>
            <w:tcBorders>
              <w:top w:val="nil"/>
              <w:left w:val="nil"/>
              <w:bottom w:val="nil"/>
              <w:right w:val="nil"/>
            </w:tcBorders>
          </w:tcPr>
          <w:p w14:paraId="7C85244F" w14:textId="543729C8" w:rsidR="00277349" w:rsidRPr="00830994" w:rsidRDefault="00277349" w:rsidP="00252FD8">
            <w:pPr>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 received and noted the following STLC Minutes where there were no matters to report to UTLC:</w:t>
            </w:r>
          </w:p>
          <w:p w14:paraId="5546FCE2" w14:textId="72050363" w:rsidR="00252FD8" w:rsidRPr="00830994" w:rsidRDefault="00252FD8" w:rsidP="00252FD8">
            <w:pPr>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B</w:t>
            </w:r>
            <w:r w:rsidR="00277349" w:rsidRPr="00830994">
              <w:rPr>
                <w:rFonts w:ascii="Arial" w:hAnsi="Arial" w:cs="Arial"/>
                <w:color w:val="1F4E79" w:themeColor="accent1" w:themeShade="80"/>
                <w:sz w:val="24"/>
                <w:szCs w:val="24"/>
              </w:rPr>
              <w:t xml:space="preserve">usiness </w:t>
            </w:r>
            <w:r w:rsidRPr="00830994">
              <w:rPr>
                <w:rFonts w:ascii="Arial" w:hAnsi="Arial" w:cs="Arial"/>
                <w:color w:val="1F4E79" w:themeColor="accent1" w:themeShade="80"/>
                <w:sz w:val="24"/>
                <w:szCs w:val="24"/>
              </w:rPr>
              <w:t>S</w:t>
            </w:r>
            <w:r w:rsidR="00277349" w:rsidRPr="00830994">
              <w:rPr>
                <w:rFonts w:ascii="Arial" w:hAnsi="Arial" w:cs="Arial"/>
                <w:color w:val="1F4E79" w:themeColor="accent1" w:themeShade="80"/>
                <w:sz w:val="24"/>
                <w:szCs w:val="24"/>
              </w:rPr>
              <w:t>chool</w:t>
            </w:r>
            <w:r w:rsidRPr="00830994">
              <w:rPr>
                <w:rFonts w:ascii="Arial" w:hAnsi="Arial" w:cs="Arial"/>
                <w:color w:val="1F4E79" w:themeColor="accent1" w:themeShade="80"/>
                <w:sz w:val="24"/>
                <w:szCs w:val="24"/>
              </w:rPr>
              <w:t xml:space="preserve"> meeting held on 6 April 2022</w:t>
            </w:r>
          </w:p>
          <w:p w14:paraId="764827C1" w14:textId="77777777" w:rsidR="00277349" w:rsidRPr="00830994" w:rsidRDefault="00277349" w:rsidP="00252FD8">
            <w:pPr>
              <w:rPr>
                <w:rFonts w:ascii="Arial" w:hAnsi="Arial" w:cs="Arial"/>
                <w:bCs/>
                <w:color w:val="1F4E79" w:themeColor="accent1" w:themeShade="80"/>
                <w:sz w:val="24"/>
                <w:szCs w:val="24"/>
              </w:rPr>
            </w:pPr>
            <w:r w:rsidRPr="00830994">
              <w:rPr>
                <w:rFonts w:ascii="Arial" w:hAnsi="Arial" w:cs="Arial"/>
                <w:bCs/>
                <w:color w:val="1F4E79" w:themeColor="accent1" w:themeShade="80"/>
                <w:sz w:val="24"/>
                <w:szCs w:val="24"/>
              </w:rPr>
              <w:t>Education and Professional Development meeting held on 24 March 2022</w:t>
            </w:r>
          </w:p>
          <w:p w14:paraId="5C347182" w14:textId="77777777" w:rsidR="00277349" w:rsidRPr="00830994" w:rsidRDefault="00277349" w:rsidP="00252FD8">
            <w:pPr>
              <w:rPr>
                <w:rFonts w:ascii="Arial" w:hAnsi="Arial" w:cs="Arial"/>
                <w:bCs/>
                <w:color w:val="1F4E79" w:themeColor="accent1" w:themeShade="80"/>
                <w:sz w:val="24"/>
                <w:szCs w:val="24"/>
              </w:rPr>
            </w:pPr>
            <w:r w:rsidRPr="00830994">
              <w:rPr>
                <w:rFonts w:ascii="Arial" w:hAnsi="Arial" w:cs="Arial"/>
                <w:bCs/>
                <w:color w:val="1F4E79" w:themeColor="accent1" w:themeShade="80"/>
                <w:sz w:val="24"/>
                <w:szCs w:val="24"/>
              </w:rPr>
              <w:t>Human and Health Sciences meeting held on 20 April 2022</w:t>
            </w:r>
          </w:p>
          <w:p w14:paraId="78102BCC" w14:textId="77777777" w:rsidR="00277349" w:rsidRPr="00830994" w:rsidRDefault="00277349" w:rsidP="00252FD8">
            <w:pPr>
              <w:rPr>
                <w:rFonts w:ascii="Arial" w:hAnsi="Arial" w:cs="Arial"/>
                <w:bCs/>
                <w:color w:val="1F4E79" w:themeColor="accent1" w:themeShade="80"/>
                <w:sz w:val="24"/>
                <w:szCs w:val="24"/>
              </w:rPr>
            </w:pPr>
            <w:r w:rsidRPr="00830994">
              <w:rPr>
                <w:rFonts w:ascii="Arial" w:hAnsi="Arial" w:cs="Arial"/>
                <w:bCs/>
                <w:color w:val="1F4E79" w:themeColor="accent1" w:themeShade="80"/>
                <w:sz w:val="24"/>
                <w:szCs w:val="24"/>
              </w:rPr>
              <w:t>Computing and Engineering meeting held on 15 December 2021</w:t>
            </w:r>
          </w:p>
          <w:p w14:paraId="35300B82" w14:textId="2157D30F" w:rsidR="00277349" w:rsidRPr="00830994" w:rsidRDefault="00277349" w:rsidP="00252FD8">
            <w:pPr>
              <w:rPr>
                <w:rFonts w:ascii="Arial" w:hAnsi="Arial" w:cs="Arial"/>
                <w:bCs/>
                <w:color w:val="1F4E79" w:themeColor="accent1" w:themeShade="80"/>
                <w:sz w:val="24"/>
                <w:szCs w:val="24"/>
              </w:rPr>
            </w:pPr>
            <w:r w:rsidRPr="00830994">
              <w:rPr>
                <w:rFonts w:ascii="Arial" w:hAnsi="Arial" w:cs="Arial"/>
                <w:bCs/>
                <w:color w:val="1F4E79" w:themeColor="accent1" w:themeShade="80"/>
                <w:sz w:val="24"/>
                <w:szCs w:val="24"/>
              </w:rPr>
              <w:t xml:space="preserve">Schools of Arts and Humanities meeting held on 2 February 2022 </w:t>
            </w:r>
          </w:p>
        </w:tc>
        <w:tc>
          <w:tcPr>
            <w:tcW w:w="2806" w:type="dxa"/>
            <w:tcBorders>
              <w:top w:val="nil"/>
              <w:left w:val="nil"/>
              <w:bottom w:val="nil"/>
              <w:right w:val="nil"/>
            </w:tcBorders>
          </w:tcPr>
          <w:p w14:paraId="5314BF40"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UTLC_2022_05_18_P30.1</w:t>
            </w:r>
          </w:p>
          <w:p w14:paraId="5DF9D524"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UTLC_2022_05_18_P30.3</w:t>
            </w:r>
          </w:p>
          <w:p w14:paraId="54729D38"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UTLC_2022_05_18_P30.4</w:t>
            </w:r>
          </w:p>
          <w:p w14:paraId="4C0650B3"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UTLC_2022_05_18_P30.5</w:t>
            </w:r>
          </w:p>
          <w:p w14:paraId="2952B753"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UTLC_2022_05_18_P30.6</w:t>
            </w:r>
          </w:p>
          <w:p w14:paraId="0F363B0B" w14:textId="36880CBC" w:rsidR="00252FD8" w:rsidRPr="00830994" w:rsidRDefault="00252FD8" w:rsidP="00252FD8">
            <w:pPr>
              <w:jc w:val="right"/>
              <w:rPr>
                <w:rFonts w:ascii="Arial" w:hAnsi="Arial" w:cs="Arial"/>
                <w:color w:val="1F4E79" w:themeColor="accent1" w:themeShade="80"/>
                <w:sz w:val="24"/>
                <w:szCs w:val="24"/>
              </w:rPr>
            </w:pPr>
          </w:p>
        </w:tc>
      </w:tr>
      <w:tr w:rsidR="00252FD8" w14:paraId="5786F9FE" w14:textId="77777777" w:rsidTr="00DF32BA">
        <w:trPr>
          <w:trHeight w:val="256"/>
        </w:trPr>
        <w:tc>
          <w:tcPr>
            <w:tcW w:w="704" w:type="dxa"/>
            <w:tcBorders>
              <w:top w:val="nil"/>
              <w:left w:val="nil"/>
              <w:bottom w:val="nil"/>
              <w:right w:val="nil"/>
            </w:tcBorders>
          </w:tcPr>
          <w:p w14:paraId="115DF3BE" w14:textId="415BC65F"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5C5C8435" w14:textId="4148AEAE" w:rsidR="00252FD8" w:rsidRPr="00533D50" w:rsidRDefault="00252FD8" w:rsidP="00252FD8">
            <w:pPr>
              <w:rPr>
                <w:rFonts w:ascii="Arial" w:hAnsi="Arial" w:cs="Arial"/>
              </w:rPr>
            </w:pPr>
          </w:p>
        </w:tc>
        <w:tc>
          <w:tcPr>
            <w:tcW w:w="2806" w:type="dxa"/>
            <w:tcBorders>
              <w:top w:val="nil"/>
              <w:left w:val="nil"/>
              <w:bottom w:val="nil"/>
              <w:right w:val="nil"/>
            </w:tcBorders>
          </w:tcPr>
          <w:p w14:paraId="6448CA55" w14:textId="77777777" w:rsidR="00252FD8" w:rsidRPr="003F50C0" w:rsidRDefault="00252FD8" w:rsidP="00252FD8">
            <w:pPr>
              <w:jc w:val="right"/>
              <w:rPr>
                <w:rFonts w:ascii="Arial" w:hAnsi="Arial" w:cs="Arial"/>
                <w:sz w:val="20"/>
                <w:szCs w:val="20"/>
              </w:rPr>
            </w:pPr>
          </w:p>
        </w:tc>
      </w:tr>
      <w:tr w:rsidR="00252FD8" w:rsidRPr="00563BC2" w14:paraId="2B2166F9" w14:textId="77777777" w:rsidTr="00DF32BA">
        <w:trPr>
          <w:trHeight w:val="256"/>
        </w:trPr>
        <w:tc>
          <w:tcPr>
            <w:tcW w:w="704" w:type="dxa"/>
            <w:tcBorders>
              <w:top w:val="nil"/>
              <w:left w:val="nil"/>
              <w:bottom w:val="nil"/>
              <w:right w:val="nil"/>
            </w:tcBorders>
          </w:tcPr>
          <w:p w14:paraId="11D04531" w14:textId="69C3CA02"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31.</w:t>
            </w:r>
          </w:p>
        </w:tc>
        <w:tc>
          <w:tcPr>
            <w:tcW w:w="6946" w:type="dxa"/>
            <w:tcBorders>
              <w:top w:val="nil"/>
              <w:left w:val="nil"/>
              <w:bottom w:val="nil"/>
              <w:right w:val="nil"/>
            </w:tcBorders>
          </w:tcPr>
          <w:p w14:paraId="7DFB3154" w14:textId="77777777"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OTHER COMMITTEES</w:t>
            </w:r>
          </w:p>
        </w:tc>
        <w:tc>
          <w:tcPr>
            <w:tcW w:w="2806" w:type="dxa"/>
            <w:tcBorders>
              <w:top w:val="nil"/>
              <w:left w:val="nil"/>
              <w:bottom w:val="nil"/>
              <w:right w:val="nil"/>
            </w:tcBorders>
          </w:tcPr>
          <w:p w14:paraId="28A05D20" w14:textId="77777777" w:rsidR="00252FD8" w:rsidRPr="00830994" w:rsidRDefault="00252FD8" w:rsidP="00252FD8">
            <w:pPr>
              <w:rPr>
                <w:rFonts w:ascii="Arial" w:hAnsi="Arial" w:cs="Arial"/>
                <w:color w:val="1F4E79" w:themeColor="accent1" w:themeShade="80"/>
                <w:sz w:val="24"/>
                <w:szCs w:val="24"/>
              </w:rPr>
            </w:pPr>
          </w:p>
        </w:tc>
      </w:tr>
      <w:tr w:rsidR="00252FD8" w14:paraId="5C5E7A87" w14:textId="77777777" w:rsidTr="00DF32BA">
        <w:trPr>
          <w:trHeight w:val="768"/>
        </w:trPr>
        <w:tc>
          <w:tcPr>
            <w:tcW w:w="704" w:type="dxa"/>
            <w:tcBorders>
              <w:top w:val="nil"/>
              <w:left w:val="nil"/>
              <w:bottom w:val="nil"/>
              <w:right w:val="nil"/>
            </w:tcBorders>
          </w:tcPr>
          <w:p w14:paraId="3B7829D6" w14:textId="07BAE07F"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31.1</w:t>
            </w:r>
          </w:p>
        </w:tc>
        <w:tc>
          <w:tcPr>
            <w:tcW w:w="6946" w:type="dxa"/>
            <w:tcBorders>
              <w:top w:val="nil"/>
              <w:left w:val="nil"/>
              <w:bottom w:val="nil"/>
              <w:right w:val="nil"/>
            </w:tcBorders>
          </w:tcPr>
          <w:p w14:paraId="529F1F41" w14:textId="77777777" w:rsidR="00252FD8" w:rsidRPr="00830994" w:rsidRDefault="00252FD8" w:rsidP="00252FD8">
            <w:pPr>
              <w:rPr>
                <w:rFonts w:ascii="Arial" w:hAnsi="Arial" w:cs="Arial"/>
                <w:b/>
                <w:bCs/>
                <w:color w:val="1F4E79" w:themeColor="accent1" w:themeShade="80"/>
                <w:sz w:val="24"/>
                <w:szCs w:val="24"/>
              </w:rPr>
            </w:pPr>
            <w:r w:rsidRPr="00830994">
              <w:rPr>
                <w:rFonts w:ascii="Arial" w:hAnsi="Arial" w:cs="Arial"/>
                <w:b/>
                <w:bCs/>
                <w:color w:val="1F4E79" w:themeColor="accent1" w:themeShade="80"/>
                <w:sz w:val="24"/>
                <w:szCs w:val="24"/>
              </w:rPr>
              <w:t xml:space="preserve">International Committee </w:t>
            </w:r>
          </w:p>
          <w:p w14:paraId="0BE9C63F" w14:textId="2F65D529" w:rsidR="00252FD8" w:rsidRPr="00830994" w:rsidRDefault="007571CB" w:rsidP="00252FD8">
            <w:pPr>
              <w:rPr>
                <w:rFonts w:ascii="Arial" w:hAnsi="Arial" w:cs="Arial"/>
                <w:b/>
                <w:color w:val="1F4E79" w:themeColor="accent1" w:themeShade="80"/>
                <w:sz w:val="24"/>
                <w:szCs w:val="24"/>
              </w:rPr>
            </w:pPr>
            <w:r w:rsidRPr="00830994">
              <w:rPr>
                <w:rFonts w:ascii="Arial" w:hAnsi="Arial" w:cs="Arial"/>
                <w:color w:val="1F4E79" w:themeColor="accent1" w:themeShade="80"/>
                <w:sz w:val="24"/>
                <w:szCs w:val="24"/>
              </w:rPr>
              <w:t xml:space="preserve">The Committee noted </w:t>
            </w:r>
            <w:r w:rsidR="00252FD8" w:rsidRPr="00830994">
              <w:rPr>
                <w:rFonts w:ascii="Arial" w:hAnsi="Arial" w:cs="Arial"/>
                <w:color w:val="1F4E79" w:themeColor="accent1" w:themeShade="80"/>
                <w:sz w:val="24"/>
                <w:szCs w:val="24"/>
              </w:rPr>
              <w:t xml:space="preserve">the minutes from the most recent meeting of the University International Committee </w:t>
            </w:r>
          </w:p>
        </w:tc>
        <w:tc>
          <w:tcPr>
            <w:tcW w:w="2806" w:type="dxa"/>
            <w:tcBorders>
              <w:top w:val="nil"/>
              <w:left w:val="nil"/>
              <w:bottom w:val="nil"/>
              <w:right w:val="nil"/>
            </w:tcBorders>
          </w:tcPr>
          <w:p w14:paraId="3C822145"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UTLC_2022_05_18_P31.1</w:t>
            </w:r>
          </w:p>
          <w:p w14:paraId="659D3DF3" w14:textId="515A7F0F" w:rsidR="00252FD8" w:rsidRPr="00830994" w:rsidRDefault="00252FD8" w:rsidP="00252FD8">
            <w:pPr>
              <w:jc w:val="right"/>
              <w:rPr>
                <w:rFonts w:ascii="Arial" w:hAnsi="Arial" w:cs="Arial"/>
                <w:color w:val="1F4E79" w:themeColor="accent1" w:themeShade="80"/>
                <w:sz w:val="24"/>
                <w:szCs w:val="24"/>
              </w:rPr>
            </w:pPr>
          </w:p>
        </w:tc>
      </w:tr>
      <w:tr w:rsidR="00252FD8" w14:paraId="2C890D3E" w14:textId="77777777" w:rsidTr="00DF32BA">
        <w:trPr>
          <w:trHeight w:val="753"/>
        </w:trPr>
        <w:tc>
          <w:tcPr>
            <w:tcW w:w="704" w:type="dxa"/>
            <w:tcBorders>
              <w:top w:val="nil"/>
              <w:left w:val="nil"/>
              <w:bottom w:val="nil"/>
              <w:right w:val="nil"/>
            </w:tcBorders>
          </w:tcPr>
          <w:p w14:paraId="2F8F726C" w14:textId="2AFD7EED"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31.2</w:t>
            </w:r>
          </w:p>
        </w:tc>
        <w:tc>
          <w:tcPr>
            <w:tcW w:w="6946" w:type="dxa"/>
            <w:tcBorders>
              <w:top w:val="nil"/>
              <w:left w:val="nil"/>
              <w:bottom w:val="nil"/>
              <w:right w:val="nil"/>
            </w:tcBorders>
          </w:tcPr>
          <w:p w14:paraId="2F4DF397" w14:textId="77777777" w:rsidR="002C4AEA" w:rsidRPr="00830994" w:rsidRDefault="00252FD8" w:rsidP="00252FD8">
            <w:pPr>
              <w:rPr>
                <w:rFonts w:ascii="Arial" w:hAnsi="Arial" w:cs="Arial"/>
                <w:b/>
                <w:bCs/>
                <w:color w:val="1F4E79" w:themeColor="accent1" w:themeShade="80"/>
                <w:sz w:val="24"/>
                <w:szCs w:val="24"/>
              </w:rPr>
            </w:pPr>
            <w:r w:rsidRPr="00830994">
              <w:rPr>
                <w:rFonts w:ascii="Arial" w:hAnsi="Arial" w:cs="Arial"/>
                <w:b/>
                <w:bCs/>
                <w:color w:val="1F4E79" w:themeColor="accent1" w:themeShade="80"/>
                <w:sz w:val="24"/>
                <w:szCs w:val="24"/>
              </w:rPr>
              <w:t xml:space="preserve">Equality, </w:t>
            </w:r>
            <w:proofErr w:type="gramStart"/>
            <w:r w:rsidRPr="00830994">
              <w:rPr>
                <w:rFonts w:ascii="Arial" w:hAnsi="Arial" w:cs="Arial"/>
                <w:b/>
                <w:bCs/>
                <w:color w:val="1F4E79" w:themeColor="accent1" w:themeShade="80"/>
                <w:sz w:val="24"/>
                <w:szCs w:val="24"/>
              </w:rPr>
              <w:t>Diversity</w:t>
            </w:r>
            <w:proofErr w:type="gramEnd"/>
            <w:r w:rsidRPr="00830994">
              <w:rPr>
                <w:rFonts w:ascii="Arial" w:hAnsi="Arial" w:cs="Arial"/>
                <w:b/>
                <w:bCs/>
                <w:color w:val="1F4E79" w:themeColor="accent1" w:themeShade="80"/>
                <w:sz w:val="24"/>
                <w:szCs w:val="24"/>
              </w:rPr>
              <w:t xml:space="preserve"> and Inclusivity Enhancement Committee </w:t>
            </w:r>
          </w:p>
          <w:p w14:paraId="2D2569DC" w14:textId="726AFFA2" w:rsidR="00252FD8" w:rsidRPr="00830994" w:rsidRDefault="002C4AEA" w:rsidP="002C4AEA">
            <w:pPr>
              <w:rPr>
                <w:rFonts w:ascii="Arial" w:hAnsi="Arial" w:cs="Arial"/>
                <w:b/>
                <w:color w:val="1F4E79" w:themeColor="accent1" w:themeShade="80"/>
                <w:sz w:val="24"/>
                <w:szCs w:val="24"/>
              </w:rPr>
            </w:pPr>
            <w:r w:rsidRPr="00830994">
              <w:rPr>
                <w:rFonts w:ascii="Arial" w:hAnsi="Arial" w:cs="Arial"/>
                <w:color w:val="1F4E79" w:themeColor="accent1" w:themeShade="80"/>
                <w:sz w:val="24"/>
                <w:szCs w:val="24"/>
              </w:rPr>
              <w:t xml:space="preserve">The Committee received and noted the </w:t>
            </w:r>
            <w:r w:rsidR="00252FD8" w:rsidRPr="00830994">
              <w:rPr>
                <w:rFonts w:ascii="Arial" w:hAnsi="Arial" w:cs="Arial"/>
                <w:color w:val="1F4E79" w:themeColor="accent1" w:themeShade="80"/>
                <w:sz w:val="24"/>
                <w:szCs w:val="24"/>
              </w:rPr>
              <w:t xml:space="preserve">minutes from the most recent meeting of the University Equality, </w:t>
            </w:r>
            <w:proofErr w:type="gramStart"/>
            <w:r w:rsidR="00252FD8" w:rsidRPr="00830994">
              <w:rPr>
                <w:rFonts w:ascii="Arial" w:hAnsi="Arial" w:cs="Arial"/>
                <w:color w:val="1F4E79" w:themeColor="accent1" w:themeShade="80"/>
                <w:sz w:val="24"/>
                <w:szCs w:val="24"/>
              </w:rPr>
              <w:t>Diversity</w:t>
            </w:r>
            <w:proofErr w:type="gramEnd"/>
            <w:r w:rsidR="00252FD8" w:rsidRPr="00830994">
              <w:rPr>
                <w:rFonts w:ascii="Arial" w:hAnsi="Arial" w:cs="Arial"/>
                <w:color w:val="1F4E79" w:themeColor="accent1" w:themeShade="80"/>
                <w:sz w:val="24"/>
                <w:szCs w:val="24"/>
              </w:rPr>
              <w:t xml:space="preserve"> and Inclusivity Enhancement Committee </w:t>
            </w:r>
          </w:p>
        </w:tc>
        <w:tc>
          <w:tcPr>
            <w:tcW w:w="2806" w:type="dxa"/>
            <w:tcBorders>
              <w:top w:val="nil"/>
              <w:left w:val="nil"/>
              <w:bottom w:val="nil"/>
              <w:right w:val="nil"/>
            </w:tcBorders>
          </w:tcPr>
          <w:p w14:paraId="171F90A3"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UTLC_2022_05_18_P31.2</w:t>
            </w:r>
          </w:p>
          <w:p w14:paraId="0F5AE17C" w14:textId="55EB5DDC" w:rsidR="00252FD8" w:rsidRPr="00830994" w:rsidRDefault="00252FD8" w:rsidP="00252FD8">
            <w:pPr>
              <w:jc w:val="right"/>
              <w:rPr>
                <w:rFonts w:ascii="Arial" w:hAnsi="Arial" w:cs="Arial"/>
                <w:color w:val="1F4E79" w:themeColor="accent1" w:themeShade="80"/>
                <w:sz w:val="24"/>
                <w:szCs w:val="24"/>
              </w:rPr>
            </w:pPr>
          </w:p>
        </w:tc>
      </w:tr>
      <w:tr w:rsidR="00252FD8" w14:paraId="4BE1621A" w14:textId="77777777" w:rsidTr="00DF32BA">
        <w:trPr>
          <w:trHeight w:val="768"/>
        </w:trPr>
        <w:tc>
          <w:tcPr>
            <w:tcW w:w="704" w:type="dxa"/>
            <w:tcBorders>
              <w:top w:val="nil"/>
              <w:left w:val="nil"/>
              <w:bottom w:val="nil"/>
              <w:right w:val="nil"/>
            </w:tcBorders>
          </w:tcPr>
          <w:p w14:paraId="20CDCA08" w14:textId="17B59D28"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31.3</w:t>
            </w:r>
          </w:p>
        </w:tc>
        <w:tc>
          <w:tcPr>
            <w:tcW w:w="6946" w:type="dxa"/>
            <w:tcBorders>
              <w:top w:val="nil"/>
              <w:left w:val="nil"/>
              <w:bottom w:val="nil"/>
              <w:right w:val="nil"/>
            </w:tcBorders>
          </w:tcPr>
          <w:p w14:paraId="6D82A8CA" w14:textId="77777777" w:rsidR="00252FD8" w:rsidRPr="00830994" w:rsidRDefault="00252FD8" w:rsidP="00252FD8">
            <w:pPr>
              <w:rPr>
                <w:rFonts w:ascii="Arial" w:hAnsi="Arial" w:cs="Arial"/>
                <w:b/>
                <w:bCs/>
                <w:color w:val="1F4E79" w:themeColor="accent1" w:themeShade="80"/>
                <w:sz w:val="24"/>
                <w:szCs w:val="24"/>
              </w:rPr>
            </w:pPr>
            <w:r w:rsidRPr="00830994">
              <w:rPr>
                <w:rFonts w:ascii="Arial" w:hAnsi="Arial" w:cs="Arial"/>
                <w:b/>
                <w:bCs/>
                <w:color w:val="1F4E79" w:themeColor="accent1" w:themeShade="80"/>
                <w:sz w:val="24"/>
                <w:szCs w:val="24"/>
              </w:rPr>
              <w:t xml:space="preserve">Learning Platforms Steering Group </w:t>
            </w:r>
          </w:p>
          <w:p w14:paraId="11CC6BD4" w14:textId="62A9001B" w:rsidR="00252FD8" w:rsidRPr="00830994" w:rsidRDefault="002C4AEA" w:rsidP="00252FD8">
            <w:pPr>
              <w:rPr>
                <w:rFonts w:ascii="Arial" w:hAnsi="Arial" w:cs="Arial"/>
                <w:b/>
                <w:color w:val="1F4E79" w:themeColor="accent1" w:themeShade="80"/>
                <w:sz w:val="24"/>
                <w:szCs w:val="24"/>
              </w:rPr>
            </w:pPr>
            <w:r w:rsidRPr="00830994">
              <w:rPr>
                <w:rFonts w:ascii="Arial" w:hAnsi="Arial" w:cs="Arial"/>
                <w:color w:val="1F4E79" w:themeColor="accent1" w:themeShade="80"/>
                <w:sz w:val="24"/>
                <w:szCs w:val="24"/>
              </w:rPr>
              <w:t xml:space="preserve">None to note. </w:t>
            </w:r>
          </w:p>
        </w:tc>
        <w:tc>
          <w:tcPr>
            <w:tcW w:w="2806" w:type="dxa"/>
            <w:tcBorders>
              <w:top w:val="nil"/>
              <w:left w:val="nil"/>
              <w:bottom w:val="nil"/>
              <w:right w:val="nil"/>
            </w:tcBorders>
          </w:tcPr>
          <w:p w14:paraId="6A514C1A" w14:textId="00096D5B" w:rsidR="00252FD8" w:rsidRPr="00830994" w:rsidRDefault="00252FD8" w:rsidP="00252FD8">
            <w:pPr>
              <w:jc w:val="right"/>
              <w:rPr>
                <w:rFonts w:ascii="Arial" w:hAnsi="Arial" w:cs="Arial"/>
                <w:color w:val="1F4E79" w:themeColor="accent1" w:themeShade="80"/>
                <w:sz w:val="24"/>
                <w:szCs w:val="24"/>
              </w:rPr>
            </w:pPr>
          </w:p>
        </w:tc>
      </w:tr>
      <w:tr w:rsidR="003F50C0" w:rsidRPr="003F50C0" w14:paraId="7FD6C2DF" w14:textId="77777777" w:rsidTr="00DF32BA">
        <w:trPr>
          <w:trHeight w:val="768"/>
        </w:trPr>
        <w:tc>
          <w:tcPr>
            <w:tcW w:w="704" w:type="dxa"/>
            <w:tcBorders>
              <w:top w:val="nil"/>
              <w:left w:val="nil"/>
              <w:bottom w:val="nil"/>
              <w:right w:val="nil"/>
            </w:tcBorders>
          </w:tcPr>
          <w:p w14:paraId="207D656D" w14:textId="74A0F2B2" w:rsidR="00252FD8" w:rsidRPr="00830994" w:rsidRDefault="00252FD8" w:rsidP="00252FD8">
            <w:pPr>
              <w:rPr>
                <w:rFonts w:ascii="Arial" w:hAnsi="Arial" w:cs="Arial"/>
                <w:b/>
                <w:color w:val="1F4E79" w:themeColor="accent1" w:themeShade="80"/>
                <w:sz w:val="24"/>
                <w:szCs w:val="24"/>
              </w:rPr>
            </w:pPr>
            <w:r w:rsidRPr="00830994">
              <w:rPr>
                <w:rFonts w:ascii="Arial" w:hAnsi="Arial" w:cs="Arial"/>
                <w:b/>
                <w:color w:val="1F4E79" w:themeColor="accent1" w:themeShade="80"/>
                <w:sz w:val="24"/>
                <w:szCs w:val="24"/>
              </w:rPr>
              <w:t>31.4</w:t>
            </w:r>
          </w:p>
        </w:tc>
        <w:tc>
          <w:tcPr>
            <w:tcW w:w="6946" w:type="dxa"/>
            <w:tcBorders>
              <w:top w:val="nil"/>
              <w:left w:val="nil"/>
              <w:bottom w:val="nil"/>
              <w:right w:val="nil"/>
            </w:tcBorders>
          </w:tcPr>
          <w:p w14:paraId="5B4C1171" w14:textId="77777777" w:rsidR="00252FD8" w:rsidRPr="00830994" w:rsidRDefault="00252FD8" w:rsidP="00252FD8">
            <w:pPr>
              <w:rPr>
                <w:rFonts w:ascii="Arial" w:hAnsi="Arial" w:cs="Arial"/>
                <w:b/>
                <w:bCs/>
                <w:color w:val="1F4E79" w:themeColor="accent1" w:themeShade="80"/>
                <w:sz w:val="24"/>
                <w:szCs w:val="24"/>
              </w:rPr>
            </w:pPr>
            <w:r w:rsidRPr="00830994">
              <w:rPr>
                <w:rFonts w:ascii="Arial" w:hAnsi="Arial" w:cs="Arial"/>
                <w:b/>
                <w:bCs/>
                <w:color w:val="1F4E79" w:themeColor="accent1" w:themeShade="80"/>
                <w:sz w:val="24"/>
                <w:szCs w:val="24"/>
              </w:rPr>
              <w:t xml:space="preserve">Work Integrated Learning Forum </w:t>
            </w:r>
          </w:p>
          <w:p w14:paraId="05A8C23F" w14:textId="5E421B98" w:rsidR="00252FD8" w:rsidRPr="00830994" w:rsidRDefault="002C4AEA" w:rsidP="00252FD8">
            <w:pPr>
              <w:rPr>
                <w:rFonts w:ascii="Arial" w:hAnsi="Arial" w:cs="Arial"/>
                <w:b/>
                <w:color w:val="1F4E79" w:themeColor="accent1" w:themeShade="80"/>
                <w:sz w:val="24"/>
                <w:szCs w:val="24"/>
              </w:rPr>
            </w:pPr>
            <w:r w:rsidRPr="00830994">
              <w:rPr>
                <w:rFonts w:ascii="Arial" w:hAnsi="Arial" w:cs="Arial"/>
                <w:color w:val="1F4E79" w:themeColor="accent1" w:themeShade="80"/>
                <w:sz w:val="24"/>
                <w:szCs w:val="24"/>
              </w:rPr>
              <w:t xml:space="preserve">The Committee </w:t>
            </w:r>
            <w:r w:rsidR="00252FD8" w:rsidRPr="00830994">
              <w:rPr>
                <w:rFonts w:ascii="Arial" w:hAnsi="Arial" w:cs="Arial"/>
                <w:color w:val="1F4E79" w:themeColor="accent1" w:themeShade="80"/>
                <w:sz w:val="24"/>
                <w:szCs w:val="24"/>
              </w:rPr>
              <w:t>note</w:t>
            </w:r>
            <w:r w:rsidRPr="00830994">
              <w:rPr>
                <w:rFonts w:ascii="Arial" w:hAnsi="Arial" w:cs="Arial"/>
                <w:color w:val="1F4E79" w:themeColor="accent1" w:themeShade="80"/>
                <w:sz w:val="24"/>
                <w:szCs w:val="24"/>
              </w:rPr>
              <w:t>d</w:t>
            </w:r>
            <w:r w:rsidR="00252FD8" w:rsidRPr="00830994">
              <w:rPr>
                <w:rFonts w:ascii="Arial" w:hAnsi="Arial" w:cs="Arial"/>
                <w:color w:val="1F4E79" w:themeColor="accent1" w:themeShade="80"/>
                <w:sz w:val="24"/>
                <w:szCs w:val="24"/>
              </w:rPr>
              <w:t xml:space="preserve"> the minutes from the most recent meeting of the University Work Integrated Learning Forum </w:t>
            </w:r>
          </w:p>
        </w:tc>
        <w:tc>
          <w:tcPr>
            <w:tcW w:w="2806" w:type="dxa"/>
            <w:tcBorders>
              <w:top w:val="nil"/>
              <w:left w:val="nil"/>
              <w:bottom w:val="nil"/>
              <w:right w:val="nil"/>
            </w:tcBorders>
          </w:tcPr>
          <w:p w14:paraId="61B24E7E" w14:textId="77777777" w:rsidR="00830994" w:rsidRPr="00830994" w:rsidRDefault="00830994" w:rsidP="00830994">
            <w:pPr>
              <w:jc w:val="right"/>
              <w:rPr>
                <w:rFonts w:ascii="Arial" w:hAnsi="Arial" w:cs="Arial"/>
                <w:color w:val="1F4E79" w:themeColor="accent1" w:themeShade="80"/>
                <w:sz w:val="24"/>
                <w:szCs w:val="24"/>
              </w:rPr>
            </w:pPr>
            <w:r w:rsidRPr="00830994">
              <w:rPr>
                <w:rFonts w:ascii="Arial" w:hAnsi="Arial" w:cs="Arial"/>
                <w:color w:val="1F4E79" w:themeColor="accent1" w:themeShade="80"/>
                <w:sz w:val="24"/>
                <w:szCs w:val="24"/>
              </w:rPr>
              <w:t>UTLC_2022_05_18_P31.4</w:t>
            </w:r>
          </w:p>
          <w:p w14:paraId="36308E7B" w14:textId="25499BA7" w:rsidR="00252FD8" w:rsidRPr="00830994" w:rsidRDefault="00252FD8" w:rsidP="00252FD8">
            <w:pPr>
              <w:jc w:val="right"/>
              <w:rPr>
                <w:rFonts w:ascii="Arial" w:hAnsi="Arial" w:cs="Arial"/>
                <w:color w:val="1F4E79" w:themeColor="accent1" w:themeShade="80"/>
                <w:sz w:val="24"/>
                <w:szCs w:val="24"/>
              </w:rPr>
            </w:pPr>
          </w:p>
        </w:tc>
      </w:tr>
      <w:tr w:rsidR="00252FD8" w14:paraId="767ABEB2" w14:textId="77777777" w:rsidTr="00DF32BA">
        <w:trPr>
          <w:trHeight w:val="241"/>
        </w:trPr>
        <w:tc>
          <w:tcPr>
            <w:tcW w:w="704" w:type="dxa"/>
            <w:tcBorders>
              <w:top w:val="nil"/>
              <w:left w:val="nil"/>
              <w:bottom w:val="nil"/>
              <w:right w:val="nil"/>
            </w:tcBorders>
          </w:tcPr>
          <w:p w14:paraId="6CFEDC12" w14:textId="77777777" w:rsidR="00252FD8" w:rsidRDefault="00252FD8" w:rsidP="00252FD8">
            <w:pPr>
              <w:rPr>
                <w:rFonts w:ascii="Arial" w:hAnsi="Arial" w:cs="Arial"/>
                <w:b/>
                <w:color w:val="1F4E79" w:themeColor="accent1" w:themeShade="80"/>
              </w:rPr>
            </w:pPr>
          </w:p>
        </w:tc>
        <w:tc>
          <w:tcPr>
            <w:tcW w:w="6946" w:type="dxa"/>
            <w:tcBorders>
              <w:top w:val="nil"/>
              <w:left w:val="nil"/>
              <w:bottom w:val="nil"/>
              <w:right w:val="nil"/>
            </w:tcBorders>
          </w:tcPr>
          <w:p w14:paraId="084D9082" w14:textId="77777777" w:rsidR="00252FD8" w:rsidRPr="00BD3917" w:rsidRDefault="00252FD8" w:rsidP="00252FD8">
            <w:pPr>
              <w:rPr>
                <w:rFonts w:ascii="Arial" w:hAnsi="Arial" w:cs="Arial"/>
                <w:color w:val="FF0000"/>
              </w:rPr>
            </w:pPr>
          </w:p>
        </w:tc>
        <w:tc>
          <w:tcPr>
            <w:tcW w:w="2806" w:type="dxa"/>
            <w:tcBorders>
              <w:top w:val="nil"/>
              <w:left w:val="nil"/>
              <w:bottom w:val="nil"/>
              <w:right w:val="nil"/>
            </w:tcBorders>
          </w:tcPr>
          <w:p w14:paraId="22AD8958" w14:textId="77777777" w:rsidR="00252FD8" w:rsidRPr="00E10574" w:rsidRDefault="00252FD8" w:rsidP="00252FD8">
            <w:pPr>
              <w:rPr>
                <w:rFonts w:ascii="Arial" w:hAnsi="Arial" w:cs="Arial"/>
                <w:sz w:val="20"/>
                <w:szCs w:val="20"/>
              </w:rPr>
            </w:pPr>
          </w:p>
        </w:tc>
      </w:tr>
      <w:tr w:rsidR="00252FD8" w14:paraId="413DD1FC" w14:textId="77777777" w:rsidTr="00DE22B0">
        <w:trPr>
          <w:trHeight w:val="376"/>
        </w:trPr>
        <w:tc>
          <w:tcPr>
            <w:tcW w:w="10456" w:type="dxa"/>
            <w:gridSpan w:val="3"/>
            <w:tcBorders>
              <w:top w:val="nil"/>
              <w:bottom w:val="nil"/>
            </w:tcBorders>
            <w:shd w:val="clear" w:color="auto" w:fill="1F4E79" w:themeFill="accent1" w:themeFillShade="80"/>
          </w:tcPr>
          <w:p w14:paraId="5DF2A8AD" w14:textId="77777777" w:rsidR="00252FD8" w:rsidRPr="00B97093" w:rsidRDefault="00252FD8" w:rsidP="00252FD8">
            <w:pPr>
              <w:spacing w:after="120"/>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OTHER BUSINESS</w:t>
            </w:r>
          </w:p>
        </w:tc>
      </w:tr>
      <w:tr w:rsidR="00252FD8" w14:paraId="139AC07F" w14:textId="77777777" w:rsidTr="00DF32BA">
        <w:trPr>
          <w:trHeight w:val="256"/>
        </w:trPr>
        <w:tc>
          <w:tcPr>
            <w:tcW w:w="704" w:type="dxa"/>
            <w:tcBorders>
              <w:top w:val="nil"/>
              <w:left w:val="nil"/>
              <w:bottom w:val="nil"/>
              <w:right w:val="nil"/>
            </w:tcBorders>
          </w:tcPr>
          <w:p w14:paraId="7BAD81EA" w14:textId="77777777" w:rsidR="00252FD8" w:rsidRPr="00B97093" w:rsidRDefault="00252FD8" w:rsidP="00252FD8">
            <w:pPr>
              <w:pStyle w:val="ListParagraph"/>
              <w:ind w:left="360"/>
              <w:rPr>
                <w:rFonts w:ascii="Arial" w:hAnsi="Arial" w:cs="Arial"/>
                <w:b/>
                <w:color w:val="1F4E79" w:themeColor="accent1" w:themeShade="80"/>
                <w:sz w:val="24"/>
                <w:szCs w:val="24"/>
              </w:rPr>
            </w:pPr>
          </w:p>
        </w:tc>
        <w:tc>
          <w:tcPr>
            <w:tcW w:w="6946" w:type="dxa"/>
            <w:tcBorders>
              <w:top w:val="nil"/>
              <w:left w:val="nil"/>
              <w:bottom w:val="nil"/>
              <w:right w:val="nil"/>
            </w:tcBorders>
          </w:tcPr>
          <w:p w14:paraId="4A5DF840" w14:textId="77777777" w:rsidR="00252FD8" w:rsidRPr="00B97093" w:rsidRDefault="00252FD8" w:rsidP="00252FD8">
            <w:pPr>
              <w:rPr>
                <w:rFonts w:ascii="Arial" w:hAnsi="Arial" w:cs="Arial"/>
                <w:b/>
                <w:color w:val="1F4E79" w:themeColor="accent1" w:themeShade="80"/>
                <w:sz w:val="24"/>
                <w:szCs w:val="24"/>
              </w:rPr>
            </w:pPr>
          </w:p>
        </w:tc>
        <w:tc>
          <w:tcPr>
            <w:tcW w:w="2806" w:type="dxa"/>
            <w:tcBorders>
              <w:top w:val="nil"/>
              <w:left w:val="nil"/>
              <w:bottom w:val="nil"/>
              <w:right w:val="nil"/>
            </w:tcBorders>
          </w:tcPr>
          <w:p w14:paraId="12098E0A" w14:textId="77777777" w:rsidR="00252FD8" w:rsidRPr="00E10574" w:rsidRDefault="00252FD8" w:rsidP="00252FD8">
            <w:pPr>
              <w:jc w:val="right"/>
              <w:rPr>
                <w:rFonts w:ascii="Arial" w:hAnsi="Arial" w:cs="Arial"/>
                <w:sz w:val="20"/>
                <w:szCs w:val="20"/>
              </w:rPr>
            </w:pPr>
          </w:p>
        </w:tc>
      </w:tr>
      <w:tr w:rsidR="00252FD8" w14:paraId="3FDC031F" w14:textId="77777777" w:rsidTr="00DF32BA">
        <w:trPr>
          <w:trHeight w:val="256"/>
        </w:trPr>
        <w:tc>
          <w:tcPr>
            <w:tcW w:w="704" w:type="dxa"/>
            <w:tcBorders>
              <w:top w:val="nil"/>
              <w:left w:val="nil"/>
              <w:bottom w:val="nil"/>
              <w:right w:val="nil"/>
            </w:tcBorders>
          </w:tcPr>
          <w:p w14:paraId="32D777B8" w14:textId="3901765F"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lastRenderedPageBreak/>
              <w:t>32.</w:t>
            </w:r>
          </w:p>
        </w:tc>
        <w:tc>
          <w:tcPr>
            <w:tcW w:w="6946" w:type="dxa"/>
            <w:tcBorders>
              <w:top w:val="nil"/>
              <w:left w:val="nil"/>
              <w:bottom w:val="nil"/>
              <w:right w:val="nil"/>
            </w:tcBorders>
          </w:tcPr>
          <w:p w14:paraId="0F188E6F"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b/>
                <w:color w:val="1F4E79" w:themeColor="accent1" w:themeShade="80"/>
                <w:sz w:val="24"/>
                <w:szCs w:val="24"/>
              </w:rPr>
              <w:t>ANY OTHER BUSINESS</w:t>
            </w:r>
          </w:p>
        </w:tc>
        <w:tc>
          <w:tcPr>
            <w:tcW w:w="2806" w:type="dxa"/>
            <w:tcBorders>
              <w:top w:val="nil"/>
              <w:left w:val="nil"/>
              <w:bottom w:val="nil"/>
              <w:right w:val="nil"/>
            </w:tcBorders>
          </w:tcPr>
          <w:p w14:paraId="3C1D01D4" w14:textId="77777777" w:rsidR="00252FD8" w:rsidRPr="0020485F" w:rsidRDefault="00252FD8" w:rsidP="00252FD8">
            <w:pPr>
              <w:ind w:left="-249"/>
              <w:jc w:val="right"/>
              <w:rPr>
                <w:rFonts w:ascii="Arial" w:hAnsi="Arial" w:cs="Arial"/>
                <w:b/>
                <w:color w:val="1F4E79" w:themeColor="accent1" w:themeShade="80"/>
                <w:sz w:val="20"/>
                <w:szCs w:val="20"/>
              </w:rPr>
            </w:pPr>
          </w:p>
        </w:tc>
      </w:tr>
      <w:tr w:rsidR="00252FD8" w14:paraId="39196407" w14:textId="77777777" w:rsidTr="00DF32BA">
        <w:trPr>
          <w:trHeight w:val="512"/>
        </w:trPr>
        <w:tc>
          <w:tcPr>
            <w:tcW w:w="704" w:type="dxa"/>
            <w:tcBorders>
              <w:top w:val="nil"/>
              <w:left w:val="nil"/>
              <w:bottom w:val="nil"/>
              <w:right w:val="nil"/>
            </w:tcBorders>
          </w:tcPr>
          <w:p w14:paraId="7670A5AF" w14:textId="66A68C23"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32.1</w:t>
            </w:r>
          </w:p>
        </w:tc>
        <w:tc>
          <w:tcPr>
            <w:tcW w:w="6946" w:type="dxa"/>
            <w:tcBorders>
              <w:top w:val="nil"/>
              <w:left w:val="nil"/>
              <w:bottom w:val="nil"/>
              <w:right w:val="nil"/>
            </w:tcBorders>
          </w:tcPr>
          <w:p w14:paraId="70AEEC9F" w14:textId="7F277C37" w:rsidR="00BC2624" w:rsidRPr="00B97093" w:rsidRDefault="004C7EF7"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Assistant Registrar (Quality Assurance)</w:t>
            </w:r>
            <w:r w:rsidR="00BC2624" w:rsidRPr="00B97093">
              <w:rPr>
                <w:rFonts w:ascii="Arial" w:hAnsi="Arial" w:cs="Arial"/>
                <w:color w:val="1F4E79" w:themeColor="accent1" w:themeShade="80"/>
                <w:sz w:val="24"/>
                <w:szCs w:val="24"/>
              </w:rPr>
              <w:t xml:space="preserve"> advised that the SU should involve the Quality Assurance team in Registry in the panel review work. </w:t>
            </w:r>
          </w:p>
          <w:p w14:paraId="55FFE216" w14:textId="77777777" w:rsidR="001B1EBC" w:rsidRPr="00B97093" w:rsidRDefault="001B1EBC" w:rsidP="00252FD8">
            <w:pPr>
              <w:rPr>
                <w:rFonts w:ascii="Arial" w:hAnsi="Arial" w:cs="Arial"/>
                <w:color w:val="1F4E79" w:themeColor="accent1" w:themeShade="80"/>
                <w:sz w:val="24"/>
                <w:szCs w:val="24"/>
              </w:rPr>
            </w:pPr>
          </w:p>
          <w:p w14:paraId="51D41576" w14:textId="4070FFEB" w:rsidR="00252FD8" w:rsidRPr="00B97093" w:rsidRDefault="004C7EF7"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 xml:space="preserve">Assistant Registrar (Quality Assurance) </w:t>
            </w:r>
            <w:r w:rsidR="00BC2624" w:rsidRPr="00B97093">
              <w:rPr>
                <w:rFonts w:ascii="Arial" w:hAnsi="Arial" w:cs="Arial"/>
                <w:color w:val="1F4E79" w:themeColor="accent1" w:themeShade="80"/>
                <w:sz w:val="24"/>
                <w:szCs w:val="24"/>
              </w:rPr>
              <w:t xml:space="preserve">expressed thanks to Keith McCabe’s team in the work conducted for the subject reviews. </w:t>
            </w:r>
          </w:p>
          <w:p w14:paraId="64F6ECC7" w14:textId="77777777" w:rsidR="001B1EBC" w:rsidRPr="00B97093" w:rsidRDefault="001B1EBC" w:rsidP="00252FD8">
            <w:pPr>
              <w:rPr>
                <w:rFonts w:ascii="Arial" w:hAnsi="Arial" w:cs="Arial"/>
                <w:color w:val="1F4E79" w:themeColor="accent1" w:themeShade="80"/>
                <w:sz w:val="24"/>
                <w:szCs w:val="24"/>
              </w:rPr>
            </w:pPr>
          </w:p>
          <w:p w14:paraId="5E2B9DD2" w14:textId="77777777" w:rsidR="00BC2624" w:rsidRDefault="00BC2624"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 xml:space="preserve">The Chair advised that in the March 2022 UTLC meeting, due to an error in the papers received, the External Examiner item on the agenda had been given approval under Chair’s Action. </w:t>
            </w:r>
          </w:p>
          <w:p w14:paraId="4A526E9C" w14:textId="77777777" w:rsidR="0017481F" w:rsidRPr="0017481F" w:rsidRDefault="0017481F" w:rsidP="0017481F">
            <w:pPr>
              <w:rPr>
                <w:rFonts w:ascii="Arial" w:hAnsi="Arial" w:cs="Arial"/>
                <w:color w:val="1F4E79" w:themeColor="accent1" w:themeShade="80"/>
                <w:sz w:val="24"/>
                <w:szCs w:val="24"/>
              </w:rPr>
            </w:pPr>
            <w:r w:rsidRPr="0017481F">
              <w:rPr>
                <w:rFonts w:ascii="Arial" w:hAnsi="Arial" w:cs="Arial"/>
                <w:b/>
                <w:bCs/>
                <w:color w:val="1F4E79" w:themeColor="accent1" w:themeShade="80"/>
                <w:sz w:val="24"/>
                <w:szCs w:val="24"/>
              </w:rPr>
              <w:t>Issues raised in External Examiner Reports for UTLC consideration:</w:t>
            </w:r>
            <w:r w:rsidRPr="0017481F">
              <w:rPr>
                <w:rFonts w:ascii="Arial" w:hAnsi="Arial" w:cs="Arial"/>
                <w:color w:val="1F4E79" w:themeColor="accent1" w:themeShade="80"/>
                <w:sz w:val="24"/>
                <w:szCs w:val="24"/>
              </w:rPr>
              <w:t xml:space="preserve"> </w:t>
            </w:r>
          </w:p>
          <w:p w14:paraId="576A3109" w14:textId="77777777" w:rsidR="0017481F" w:rsidRPr="0017481F" w:rsidRDefault="0017481F" w:rsidP="0017481F">
            <w:pPr>
              <w:rPr>
                <w:rFonts w:ascii="Arial" w:hAnsi="Arial" w:cs="Arial"/>
                <w:color w:val="1F4E79" w:themeColor="accent1" w:themeShade="80"/>
                <w:sz w:val="24"/>
                <w:szCs w:val="24"/>
              </w:rPr>
            </w:pPr>
            <w:r w:rsidRPr="0017481F">
              <w:rPr>
                <w:rFonts w:ascii="Arial" w:hAnsi="Arial" w:cs="Arial"/>
                <w:color w:val="1F4E79" w:themeColor="accent1" w:themeShade="80"/>
                <w:sz w:val="24"/>
                <w:szCs w:val="24"/>
              </w:rPr>
              <w:t xml:space="preserve">• Schools should be encouraged to continue to liaise with all EEs to arrange meetings or visits as appropriate (face to face or virtual) and if EEs feel particularly strongly that they need to visit the campus then as covid restrictions have eased it might now be possible to arrange this. </w:t>
            </w:r>
          </w:p>
          <w:p w14:paraId="1FE8025C" w14:textId="77777777" w:rsidR="0017481F" w:rsidRPr="0017481F" w:rsidRDefault="0017481F" w:rsidP="0017481F">
            <w:pPr>
              <w:rPr>
                <w:rFonts w:ascii="Arial" w:hAnsi="Arial" w:cs="Arial"/>
                <w:color w:val="1F4E79" w:themeColor="accent1" w:themeShade="80"/>
                <w:sz w:val="24"/>
                <w:szCs w:val="24"/>
              </w:rPr>
            </w:pPr>
            <w:r w:rsidRPr="0017481F">
              <w:rPr>
                <w:rFonts w:ascii="Arial" w:hAnsi="Arial" w:cs="Arial"/>
                <w:color w:val="1F4E79" w:themeColor="accent1" w:themeShade="80"/>
                <w:sz w:val="24"/>
                <w:szCs w:val="24"/>
              </w:rPr>
              <w:t xml:space="preserve">• Post covid, grade inflation should still be monitored as a small number of EEs still allude to this being an issue (see general concerns). </w:t>
            </w:r>
          </w:p>
          <w:p w14:paraId="22AF3FF7" w14:textId="77777777" w:rsidR="0017481F" w:rsidRPr="0017481F" w:rsidRDefault="0017481F" w:rsidP="0017481F">
            <w:pPr>
              <w:rPr>
                <w:rFonts w:ascii="Arial" w:hAnsi="Arial" w:cs="Arial"/>
                <w:color w:val="1F4E79" w:themeColor="accent1" w:themeShade="80"/>
                <w:sz w:val="24"/>
                <w:szCs w:val="24"/>
              </w:rPr>
            </w:pPr>
            <w:r w:rsidRPr="0017481F">
              <w:rPr>
                <w:rFonts w:ascii="Arial" w:hAnsi="Arial" w:cs="Arial"/>
                <w:color w:val="1F4E79" w:themeColor="accent1" w:themeShade="80"/>
                <w:sz w:val="24"/>
                <w:szCs w:val="24"/>
              </w:rPr>
              <w:t xml:space="preserve">• Schools may wish to remind course teams to send work to EEs well ahead of CAB dates to avoid EEs receiving a large amount of work to complete in an unreasonable amount of time. </w:t>
            </w:r>
          </w:p>
          <w:p w14:paraId="5A911A37" w14:textId="3835B794" w:rsidR="0017481F" w:rsidRPr="00B97093" w:rsidRDefault="0017481F" w:rsidP="0017481F">
            <w:pPr>
              <w:rPr>
                <w:rFonts w:ascii="Arial" w:hAnsi="Arial" w:cs="Arial"/>
                <w:color w:val="1F4E79" w:themeColor="accent1" w:themeShade="80"/>
                <w:sz w:val="24"/>
                <w:szCs w:val="24"/>
              </w:rPr>
            </w:pPr>
            <w:r w:rsidRPr="0017481F">
              <w:rPr>
                <w:rFonts w:ascii="Arial" w:hAnsi="Arial" w:cs="Arial"/>
                <w:color w:val="1F4E79" w:themeColor="accent1" w:themeShade="80"/>
                <w:sz w:val="24"/>
                <w:szCs w:val="24"/>
              </w:rPr>
              <w:t>• Schools should be reminded of the importance of sending timely EE3 responses to their EEs and to Registry</w:t>
            </w:r>
          </w:p>
        </w:tc>
        <w:tc>
          <w:tcPr>
            <w:tcW w:w="2806" w:type="dxa"/>
            <w:tcBorders>
              <w:top w:val="nil"/>
              <w:left w:val="nil"/>
              <w:bottom w:val="nil"/>
              <w:right w:val="nil"/>
            </w:tcBorders>
          </w:tcPr>
          <w:p w14:paraId="0BA7A2B3" w14:textId="3378B116" w:rsidR="00252FD8" w:rsidRPr="00B97093" w:rsidRDefault="001B1EBC" w:rsidP="00252FD8">
            <w:pPr>
              <w:ind w:hanging="249"/>
              <w:jc w:val="right"/>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SU / Registry Quality Assurance</w:t>
            </w:r>
          </w:p>
        </w:tc>
      </w:tr>
      <w:tr w:rsidR="00252FD8" w14:paraId="6BED2CD7" w14:textId="77777777" w:rsidTr="00DF32BA">
        <w:trPr>
          <w:trHeight w:val="241"/>
        </w:trPr>
        <w:tc>
          <w:tcPr>
            <w:tcW w:w="704" w:type="dxa"/>
            <w:tcBorders>
              <w:top w:val="nil"/>
              <w:left w:val="nil"/>
              <w:bottom w:val="nil"/>
              <w:right w:val="nil"/>
            </w:tcBorders>
          </w:tcPr>
          <w:p w14:paraId="002D5130" w14:textId="77777777" w:rsidR="00252FD8" w:rsidRPr="00B97093" w:rsidRDefault="00252FD8" w:rsidP="00252FD8">
            <w:pPr>
              <w:rPr>
                <w:rFonts w:ascii="Arial" w:hAnsi="Arial" w:cs="Arial"/>
                <w:b/>
                <w:color w:val="1F4E79" w:themeColor="accent1" w:themeShade="80"/>
                <w:sz w:val="24"/>
                <w:szCs w:val="24"/>
              </w:rPr>
            </w:pPr>
          </w:p>
        </w:tc>
        <w:tc>
          <w:tcPr>
            <w:tcW w:w="6946" w:type="dxa"/>
            <w:tcBorders>
              <w:top w:val="nil"/>
              <w:left w:val="nil"/>
              <w:bottom w:val="nil"/>
              <w:right w:val="nil"/>
            </w:tcBorders>
          </w:tcPr>
          <w:p w14:paraId="65904BD8" w14:textId="77777777" w:rsidR="00252FD8" w:rsidRPr="00B97093" w:rsidRDefault="00252FD8" w:rsidP="00252FD8">
            <w:pPr>
              <w:rPr>
                <w:rFonts w:ascii="Arial" w:hAnsi="Arial" w:cs="Arial"/>
                <w:color w:val="1F4E79" w:themeColor="accent1" w:themeShade="80"/>
                <w:sz w:val="24"/>
                <w:szCs w:val="24"/>
              </w:rPr>
            </w:pPr>
          </w:p>
        </w:tc>
        <w:tc>
          <w:tcPr>
            <w:tcW w:w="2806" w:type="dxa"/>
            <w:tcBorders>
              <w:top w:val="nil"/>
              <w:left w:val="nil"/>
              <w:bottom w:val="nil"/>
              <w:right w:val="nil"/>
            </w:tcBorders>
          </w:tcPr>
          <w:p w14:paraId="6BBA7A27" w14:textId="77777777" w:rsidR="00252FD8" w:rsidRPr="0020485F" w:rsidRDefault="00252FD8" w:rsidP="00252FD8">
            <w:pPr>
              <w:ind w:hanging="249"/>
              <w:jc w:val="right"/>
              <w:rPr>
                <w:rFonts w:ascii="Arial" w:hAnsi="Arial" w:cs="Arial"/>
                <w:color w:val="1F4E79" w:themeColor="accent1" w:themeShade="80"/>
                <w:sz w:val="20"/>
                <w:szCs w:val="20"/>
              </w:rPr>
            </w:pPr>
          </w:p>
        </w:tc>
      </w:tr>
      <w:tr w:rsidR="00252FD8" w14:paraId="55624C53" w14:textId="77777777" w:rsidTr="00DF32BA">
        <w:trPr>
          <w:trHeight w:val="256"/>
        </w:trPr>
        <w:tc>
          <w:tcPr>
            <w:tcW w:w="704" w:type="dxa"/>
            <w:tcBorders>
              <w:top w:val="nil"/>
              <w:left w:val="nil"/>
              <w:bottom w:val="nil"/>
              <w:right w:val="nil"/>
            </w:tcBorders>
          </w:tcPr>
          <w:p w14:paraId="04DE2BEB" w14:textId="775C3C61"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33.</w:t>
            </w:r>
          </w:p>
        </w:tc>
        <w:tc>
          <w:tcPr>
            <w:tcW w:w="6946" w:type="dxa"/>
            <w:tcBorders>
              <w:top w:val="nil"/>
              <w:left w:val="nil"/>
              <w:bottom w:val="nil"/>
              <w:right w:val="nil"/>
            </w:tcBorders>
          </w:tcPr>
          <w:p w14:paraId="5A479AEE"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b/>
                <w:color w:val="1F4E79" w:themeColor="accent1" w:themeShade="80"/>
                <w:sz w:val="24"/>
                <w:szCs w:val="24"/>
              </w:rPr>
              <w:t xml:space="preserve">AVAILABILITY OF AGENDA, </w:t>
            </w:r>
            <w:proofErr w:type="gramStart"/>
            <w:r w:rsidRPr="00B97093">
              <w:rPr>
                <w:rFonts w:ascii="Arial" w:hAnsi="Arial" w:cs="Arial"/>
                <w:b/>
                <w:color w:val="1F4E79" w:themeColor="accent1" w:themeShade="80"/>
                <w:sz w:val="24"/>
                <w:szCs w:val="24"/>
              </w:rPr>
              <w:t>PAPERS</w:t>
            </w:r>
            <w:proofErr w:type="gramEnd"/>
            <w:r w:rsidRPr="00B97093">
              <w:rPr>
                <w:rFonts w:ascii="Arial" w:hAnsi="Arial" w:cs="Arial"/>
                <w:b/>
                <w:color w:val="1F4E79" w:themeColor="accent1" w:themeShade="80"/>
                <w:sz w:val="24"/>
                <w:szCs w:val="24"/>
              </w:rPr>
              <w:t xml:space="preserve"> AND MINUTES</w:t>
            </w:r>
          </w:p>
        </w:tc>
        <w:tc>
          <w:tcPr>
            <w:tcW w:w="2806" w:type="dxa"/>
            <w:tcBorders>
              <w:top w:val="nil"/>
              <w:left w:val="nil"/>
              <w:bottom w:val="nil"/>
              <w:right w:val="nil"/>
            </w:tcBorders>
          </w:tcPr>
          <w:p w14:paraId="080F7E05" w14:textId="77777777" w:rsidR="00252FD8" w:rsidRPr="0020485F" w:rsidRDefault="00252FD8" w:rsidP="00252FD8">
            <w:pPr>
              <w:ind w:hanging="249"/>
              <w:jc w:val="right"/>
              <w:rPr>
                <w:rFonts w:ascii="Arial" w:hAnsi="Arial" w:cs="Arial"/>
                <w:color w:val="1F4E79" w:themeColor="accent1" w:themeShade="80"/>
                <w:sz w:val="20"/>
                <w:szCs w:val="20"/>
              </w:rPr>
            </w:pPr>
          </w:p>
        </w:tc>
      </w:tr>
      <w:tr w:rsidR="00252FD8" w14:paraId="4507F1A7" w14:textId="77777777" w:rsidTr="00DF32BA">
        <w:trPr>
          <w:trHeight w:val="512"/>
        </w:trPr>
        <w:tc>
          <w:tcPr>
            <w:tcW w:w="704" w:type="dxa"/>
            <w:tcBorders>
              <w:top w:val="nil"/>
              <w:left w:val="nil"/>
              <w:bottom w:val="nil"/>
              <w:right w:val="nil"/>
            </w:tcBorders>
          </w:tcPr>
          <w:p w14:paraId="3716E312" w14:textId="5E4E856C"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33.1</w:t>
            </w:r>
          </w:p>
        </w:tc>
        <w:tc>
          <w:tcPr>
            <w:tcW w:w="6946" w:type="dxa"/>
            <w:tcBorders>
              <w:top w:val="nil"/>
              <w:left w:val="nil"/>
              <w:bottom w:val="nil"/>
              <w:right w:val="nil"/>
            </w:tcBorders>
          </w:tcPr>
          <w:p w14:paraId="0411F7FE" w14:textId="424DC736" w:rsidR="00252FD8" w:rsidRPr="00B97093" w:rsidRDefault="00BC2624" w:rsidP="00252FD8">
            <w:pPr>
              <w:rPr>
                <w:rFonts w:ascii="Arial" w:hAnsi="Arial" w:cs="Arial"/>
                <w:bCs/>
                <w:color w:val="1F4E79" w:themeColor="accent1" w:themeShade="80"/>
                <w:sz w:val="24"/>
                <w:szCs w:val="24"/>
              </w:rPr>
            </w:pPr>
            <w:r w:rsidRPr="00B97093">
              <w:rPr>
                <w:rFonts w:ascii="Arial" w:hAnsi="Arial" w:cs="Arial"/>
                <w:bCs/>
                <w:color w:val="1F4E79" w:themeColor="accent1" w:themeShade="80"/>
                <w:sz w:val="24"/>
                <w:szCs w:val="24"/>
              </w:rPr>
              <w:t xml:space="preserve">The Committee confirmed that no agenda items, </w:t>
            </w:r>
            <w:proofErr w:type="gramStart"/>
            <w:r w:rsidRPr="00B97093">
              <w:rPr>
                <w:rFonts w:ascii="Arial" w:hAnsi="Arial" w:cs="Arial"/>
                <w:bCs/>
                <w:color w:val="1F4E79" w:themeColor="accent1" w:themeShade="80"/>
                <w:sz w:val="24"/>
                <w:szCs w:val="24"/>
              </w:rPr>
              <w:t>papers</w:t>
            </w:r>
            <w:proofErr w:type="gramEnd"/>
            <w:r w:rsidRPr="00B97093">
              <w:rPr>
                <w:rFonts w:ascii="Arial" w:hAnsi="Arial" w:cs="Arial"/>
                <w:bCs/>
                <w:color w:val="1F4E79" w:themeColor="accent1" w:themeShade="80"/>
                <w:sz w:val="24"/>
                <w:szCs w:val="24"/>
              </w:rPr>
              <w:t xml:space="preserve"> or minutes should be treated as confidential. </w:t>
            </w:r>
          </w:p>
        </w:tc>
        <w:tc>
          <w:tcPr>
            <w:tcW w:w="2806" w:type="dxa"/>
            <w:tcBorders>
              <w:top w:val="nil"/>
              <w:left w:val="nil"/>
              <w:bottom w:val="nil"/>
              <w:right w:val="nil"/>
            </w:tcBorders>
          </w:tcPr>
          <w:p w14:paraId="40638591" w14:textId="77777777" w:rsidR="00252FD8" w:rsidRPr="0020485F" w:rsidRDefault="00252FD8" w:rsidP="00252FD8">
            <w:pPr>
              <w:ind w:hanging="249"/>
              <w:jc w:val="right"/>
              <w:rPr>
                <w:rFonts w:ascii="Arial" w:hAnsi="Arial" w:cs="Arial"/>
                <w:color w:val="1F4E79" w:themeColor="accent1" w:themeShade="80"/>
                <w:sz w:val="20"/>
                <w:szCs w:val="20"/>
              </w:rPr>
            </w:pPr>
          </w:p>
        </w:tc>
      </w:tr>
      <w:tr w:rsidR="00252FD8" w14:paraId="2D671564" w14:textId="77777777" w:rsidTr="00DF32BA">
        <w:trPr>
          <w:trHeight w:val="256"/>
        </w:trPr>
        <w:tc>
          <w:tcPr>
            <w:tcW w:w="704" w:type="dxa"/>
            <w:tcBorders>
              <w:top w:val="nil"/>
              <w:left w:val="nil"/>
              <w:bottom w:val="nil"/>
              <w:right w:val="nil"/>
            </w:tcBorders>
          </w:tcPr>
          <w:p w14:paraId="5CCE75AC" w14:textId="77777777" w:rsidR="00252FD8" w:rsidRPr="00B97093" w:rsidRDefault="00252FD8" w:rsidP="00252FD8">
            <w:pPr>
              <w:rPr>
                <w:rFonts w:ascii="Arial" w:hAnsi="Arial" w:cs="Arial"/>
                <w:b/>
                <w:color w:val="1F4E79" w:themeColor="accent1" w:themeShade="80"/>
                <w:sz w:val="24"/>
                <w:szCs w:val="24"/>
              </w:rPr>
            </w:pPr>
          </w:p>
        </w:tc>
        <w:tc>
          <w:tcPr>
            <w:tcW w:w="6946" w:type="dxa"/>
            <w:tcBorders>
              <w:top w:val="nil"/>
              <w:left w:val="nil"/>
              <w:bottom w:val="nil"/>
              <w:right w:val="nil"/>
            </w:tcBorders>
          </w:tcPr>
          <w:p w14:paraId="778537CC" w14:textId="77777777" w:rsidR="00252FD8" w:rsidRPr="00B97093" w:rsidRDefault="00252FD8" w:rsidP="00252FD8">
            <w:pPr>
              <w:rPr>
                <w:rFonts w:ascii="Arial" w:hAnsi="Arial" w:cs="Arial"/>
                <w:color w:val="1F4E79" w:themeColor="accent1" w:themeShade="80"/>
                <w:sz w:val="24"/>
                <w:szCs w:val="24"/>
              </w:rPr>
            </w:pPr>
          </w:p>
        </w:tc>
        <w:tc>
          <w:tcPr>
            <w:tcW w:w="2806" w:type="dxa"/>
            <w:tcBorders>
              <w:top w:val="nil"/>
              <w:left w:val="nil"/>
              <w:bottom w:val="nil"/>
              <w:right w:val="nil"/>
            </w:tcBorders>
          </w:tcPr>
          <w:p w14:paraId="4CBA9807" w14:textId="77777777" w:rsidR="00252FD8" w:rsidRPr="0020485F" w:rsidRDefault="00252FD8" w:rsidP="00252FD8">
            <w:pPr>
              <w:jc w:val="right"/>
              <w:rPr>
                <w:rFonts w:ascii="Arial" w:hAnsi="Arial" w:cs="Arial"/>
                <w:b/>
                <w:color w:val="1F4E79" w:themeColor="accent1" w:themeShade="80"/>
                <w:sz w:val="20"/>
                <w:szCs w:val="20"/>
              </w:rPr>
            </w:pPr>
          </w:p>
        </w:tc>
      </w:tr>
      <w:tr w:rsidR="00252FD8" w14:paraId="4098966D" w14:textId="77777777" w:rsidTr="00DF32BA">
        <w:trPr>
          <w:trHeight w:val="256"/>
        </w:trPr>
        <w:tc>
          <w:tcPr>
            <w:tcW w:w="704" w:type="dxa"/>
            <w:tcBorders>
              <w:top w:val="nil"/>
              <w:left w:val="nil"/>
              <w:bottom w:val="nil"/>
              <w:right w:val="nil"/>
            </w:tcBorders>
          </w:tcPr>
          <w:p w14:paraId="66AC76CA" w14:textId="2969E570"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34.</w:t>
            </w:r>
          </w:p>
        </w:tc>
        <w:tc>
          <w:tcPr>
            <w:tcW w:w="6946" w:type="dxa"/>
            <w:tcBorders>
              <w:top w:val="nil"/>
              <w:left w:val="nil"/>
              <w:bottom w:val="nil"/>
              <w:right w:val="nil"/>
            </w:tcBorders>
          </w:tcPr>
          <w:p w14:paraId="01561EF2"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b/>
                <w:color w:val="1F4E79" w:themeColor="accent1" w:themeShade="80"/>
                <w:sz w:val="24"/>
                <w:szCs w:val="24"/>
              </w:rPr>
              <w:t>DATES OF FUTURE MEETINGS</w:t>
            </w:r>
          </w:p>
        </w:tc>
        <w:tc>
          <w:tcPr>
            <w:tcW w:w="2806" w:type="dxa"/>
            <w:tcBorders>
              <w:top w:val="nil"/>
              <w:left w:val="nil"/>
              <w:bottom w:val="nil"/>
              <w:right w:val="nil"/>
            </w:tcBorders>
          </w:tcPr>
          <w:p w14:paraId="5FEDCB2E" w14:textId="77777777" w:rsidR="00252FD8" w:rsidRPr="0020485F" w:rsidRDefault="00252FD8" w:rsidP="00252FD8">
            <w:pPr>
              <w:ind w:hanging="249"/>
              <w:jc w:val="right"/>
              <w:rPr>
                <w:rFonts w:ascii="Arial" w:hAnsi="Arial" w:cs="Arial"/>
                <w:color w:val="1F4E79" w:themeColor="accent1" w:themeShade="80"/>
                <w:sz w:val="20"/>
                <w:szCs w:val="20"/>
              </w:rPr>
            </w:pPr>
          </w:p>
        </w:tc>
      </w:tr>
      <w:tr w:rsidR="00252FD8" w14:paraId="725D6422" w14:textId="77777777" w:rsidTr="00DF32BA">
        <w:trPr>
          <w:trHeight w:val="2788"/>
        </w:trPr>
        <w:tc>
          <w:tcPr>
            <w:tcW w:w="704" w:type="dxa"/>
            <w:tcBorders>
              <w:top w:val="nil"/>
              <w:left w:val="nil"/>
              <w:bottom w:val="nil"/>
              <w:right w:val="nil"/>
            </w:tcBorders>
          </w:tcPr>
          <w:p w14:paraId="38CFBC6C" w14:textId="37C23472"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34.1</w:t>
            </w:r>
          </w:p>
        </w:tc>
        <w:tc>
          <w:tcPr>
            <w:tcW w:w="6946" w:type="dxa"/>
            <w:tcBorders>
              <w:top w:val="nil"/>
              <w:left w:val="nil"/>
              <w:bottom w:val="nil"/>
              <w:right w:val="nil"/>
            </w:tcBorders>
          </w:tcPr>
          <w:p w14:paraId="147C597F"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 xml:space="preserve">All meetings commence at 9.30am and are scheduled to end at 12.30pm </w:t>
            </w:r>
          </w:p>
          <w:p w14:paraId="63F06F0C" w14:textId="77777777" w:rsidR="00252FD8" w:rsidRPr="00B97093" w:rsidRDefault="00252FD8" w:rsidP="00252FD8">
            <w:pPr>
              <w:rPr>
                <w:rFonts w:ascii="Arial" w:hAnsi="Arial" w:cs="Arial"/>
                <w:color w:val="1F4E79" w:themeColor="accent1" w:themeShade="80"/>
                <w:sz w:val="24"/>
                <w:szCs w:val="24"/>
              </w:rPr>
            </w:pPr>
          </w:p>
          <w:p w14:paraId="19E11333"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 xml:space="preserve">28 September 2022 </w:t>
            </w:r>
          </w:p>
          <w:p w14:paraId="6AAA5E52"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23 November 2022</w:t>
            </w:r>
          </w:p>
          <w:p w14:paraId="24F164FB"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25 January 2023</w:t>
            </w:r>
          </w:p>
          <w:p w14:paraId="5BBBA7F4"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15 March 2023</w:t>
            </w:r>
          </w:p>
          <w:p w14:paraId="49273360" w14:textId="77777777" w:rsidR="00252FD8" w:rsidRPr="00B97093" w:rsidRDefault="00252FD8" w:rsidP="00252FD8">
            <w:pPr>
              <w:rPr>
                <w:rFonts w:ascii="Arial" w:hAnsi="Arial" w:cs="Arial"/>
                <w:color w:val="1F4E79" w:themeColor="accent1" w:themeShade="80"/>
                <w:sz w:val="24"/>
                <w:szCs w:val="24"/>
              </w:rPr>
            </w:pPr>
            <w:r w:rsidRPr="00B97093">
              <w:rPr>
                <w:rFonts w:ascii="Arial" w:hAnsi="Arial" w:cs="Arial"/>
                <w:color w:val="1F4E79" w:themeColor="accent1" w:themeShade="80"/>
                <w:sz w:val="24"/>
                <w:szCs w:val="24"/>
              </w:rPr>
              <w:t>17 May 2023</w:t>
            </w:r>
          </w:p>
          <w:p w14:paraId="2A602D45" w14:textId="77777777" w:rsidR="00252FD8" w:rsidRPr="00B97093" w:rsidRDefault="00252FD8" w:rsidP="00252FD8">
            <w:pPr>
              <w:rPr>
                <w:rFonts w:ascii="Arial" w:hAnsi="Arial" w:cs="Arial"/>
                <w:color w:val="1F4E79" w:themeColor="accent1" w:themeShade="80"/>
                <w:sz w:val="24"/>
                <w:szCs w:val="24"/>
              </w:rPr>
            </w:pPr>
          </w:p>
          <w:p w14:paraId="46B56EEE" w14:textId="77777777" w:rsidR="00252FD8" w:rsidRPr="00B97093" w:rsidRDefault="00252FD8" w:rsidP="00252FD8">
            <w:pPr>
              <w:rPr>
                <w:rFonts w:ascii="Arial" w:hAnsi="Arial" w:cs="Arial"/>
                <w:b/>
                <w:color w:val="1F4E79" w:themeColor="accent1" w:themeShade="80"/>
                <w:sz w:val="24"/>
                <w:szCs w:val="24"/>
              </w:rPr>
            </w:pPr>
            <w:r w:rsidRPr="00B97093">
              <w:rPr>
                <w:rFonts w:ascii="Arial" w:hAnsi="Arial" w:cs="Arial"/>
                <w:b/>
                <w:color w:val="1F4E79" w:themeColor="accent1" w:themeShade="80"/>
                <w:sz w:val="24"/>
                <w:szCs w:val="24"/>
              </w:rPr>
              <w:t>The Chair reserves the right to schedule additional meetings at short notice, in response to the public health emergency.</w:t>
            </w:r>
          </w:p>
          <w:p w14:paraId="396D8983" w14:textId="77777777" w:rsidR="00252FD8" w:rsidRPr="00B97093" w:rsidRDefault="00252FD8" w:rsidP="00252FD8">
            <w:pPr>
              <w:rPr>
                <w:rFonts w:ascii="Arial" w:hAnsi="Arial" w:cs="Arial"/>
                <w:b/>
                <w:color w:val="1F4E79" w:themeColor="accent1" w:themeShade="80"/>
                <w:sz w:val="24"/>
                <w:szCs w:val="24"/>
              </w:rPr>
            </w:pPr>
          </w:p>
        </w:tc>
        <w:tc>
          <w:tcPr>
            <w:tcW w:w="2806" w:type="dxa"/>
            <w:tcBorders>
              <w:top w:val="nil"/>
              <w:left w:val="nil"/>
              <w:bottom w:val="nil"/>
              <w:right w:val="nil"/>
            </w:tcBorders>
          </w:tcPr>
          <w:p w14:paraId="3A413364" w14:textId="77777777" w:rsidR="00252FD8" w:rsidRPr="0020485F" w:rsidRDefault="00252FD8" w:rsidP="00252FD8">
            <w:pPr>
              <w:rPr>
                <w:rFonts w:ascii="Arial" w:hAnsi="Arial" w:cs="Arial"/>
                <w:b/>
                <w:color w:val="1F4E79" w:themeColor="accent1" w:themeShade="80"/>
                <w:sz w:val="20"/>
                <w:szCs w:val="20"/>
              </w:rPr>
            </w:pPr>
          </w:p>
        </w:tc>
      </w:tr>
    </w:tbl>
    <w:p w14:paraId="03D76045" w14:textId="77777777" w:rsidR="001948A0" w:rsidRDefault="001948A0" w:rsidP="00E86365">
      <w:pPr>
        <w:spacing w:after="0" w:line="240" w:lineRule="auto"/>
        <w:rPr>
          <w:rFonts w:ascii="Arial" w:hAnsi="Arial" w:cs="Arial"/>
        </w:rPr>
      </w:pPr>
    </w:p>
    <w:sectPr w:rsidR="001948A0" w:rsidSect="00101836">
      <w:footerReference w:type="default" r:id="rId7"/>
      <w:headerReference w:type="first" r:id="rId8"/>
      <w:footerReference w:type="firs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7E28" w14:textId="77777777" w:rsidR="00BC3CC3" w:rsidRDefault="00BC3CC3" w:rsidP="001948A0">
      <w:pPr>
        <w:spacing w:after="0" w:line="240" w:lineRule="auto"/>
      </w:pPr>
      <w:r>
        <w:separator/>
      </w:r>
    </w:p>
  </w:endnote>
  <w:endnote w:type="continuationSeparator" w:id="0">
    <w:p w14:paraId="2F622019" w14:textId="77777777" w:rsidR="00BC3CC3" w:rsidRDefault="00BC3CC3" w:rsidP="001948A0">
      <w:pPr>
        <w:spacing w:after="0" w:line="240" w:lineRule="auto"/>
      </w:pPr>
      <w:r>
        <w:continuationSeparator/>
      </w:r>
    </w:p>
  </w:endnote>
  <w:endnote w:type="continuationNotice" w:id="1">
    <w:p w14:paraId="6CB4A46E" w14:textId="77777777" w:rsidR="00BC3CC3" w:rsidRDefault="00BC3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472326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21CACFC" w14:textId="77777777" w:rsidR="00B364B7" w:rsidRPr="00C855F0" w:rsidRDefault="00B364B7">
            <w:pPr>
              <w:pStyle w:val="Footer"/>
              <w:jc w:val="right"/>
              <w:rPr>
                <w:sz w:val="18"/>
                <w:szCs w:val="18"/>
              </w:rPr>
            </w:pPr>
            <w:r w:rsidRPr="00C855F0">
              <w:rPr>
                <w:sz w:val="18"/>
                <w:szCs w:val="18"/>
              </w:rPr>
              <w:t xml:space="preserve">Page </w:t>
            </w:r>
            <w:r w:rsidRPr="00C855F0">
              <w:rPr>
                <w:b/>
                <w:bCs/>
                <w:sz w:val="18"/>
                <w:szCs w:val="18"/>
              </w:rPr>
              <w:fldChar w:fldCharType="begin"/>
            </w:r>
            <w:r w:rsidRPr="00C855F0">
              <w:rPr>
                <w:b/>
                <w:bCs/>
                <w:sz w:val="18"/>
                <w:szCs w:val="18"/>
              </w:rPr>
              <w:instrText xml:space="preserve"> PAGE </w:instrText>
            </w:r>
            <w:r w:rsidRPr="00C855F0">
              <w:rPr>
                <w:b/>
                <w:bCs/>
                <w:sz w:val="18"/>
                <w:szCs w:val="18"/>
              </w:rPr>
              <w:fldChar w:fldCharType="separate"/>
            </w:r>
            <w:r w:rsidR="004C7CBA">
              <w:rPr>
                <w:b/>
                <w:bCs/>
                <w:noProof/>
                <w:sz w:val="18"/>
                <w:szCs w:val="18"/>
              </w:rPr>
              <w:t>3</w:t>
            </w:r>
            <w:r w:rsidRPr="00C855F0">
              <w:rPr>
                <w:b/>
                <w:bCs/>
                <w:sz w:val="18"/>
                <w:szCs w:val="18"/>
              </w:rPr>
              <w:fldChar w:fldCharType="end"/>
            </w:r>
            <w:r w:rsidRPr="00C855F0">
              <w:rPr>
                <w:sz w:val="18"/>
                <w:szCs w:val="18"/>
              </w:rPr>
              <w:t xml:space="preserve"> of </w:t>
            </w:r>
            <w:r w:rsidRPr="00C855F0">
              <w:rPr>
                <w:b/>
                <w:bCs/>
                <w:sz w:val="18"/>
                <w:szCs w:val="18"/>
              </w:rPr>
              <w:fldChar w:fldCharType="begin"/>
            </w:r>
            <w:r w:rsidRPr="00C855F0">
              <w:rPr>
                <w:b/>
                <w:bCs/>
                <w:sz w:val="18"/>
                <w:szCs w:val="18"/>
              </w:rPr>
              <w:instrText xml:space="preserve"> NUMPAGES  </w:instrText>
            </w:r>
            <w:r w:rsidRPr="00C855F0">
              <w:rPr>
                <w:b/>
                <w:bCs/>
                <w:sz w:val="18"/>
                <w:szCs w:val="18"/>
              </w:rPr>
              <w:fldChar w:fldCharType="separate"/>
            </w:r>
            <w:r w:rsidR="004C7CBA">
              <w:rPr>
                <w:b/>
                <w:bCs/>
                <w:noProof/>
                <w:sz w:val="18"/>
                <w:szCs w:val="18"/>
              </w:rPr>
              <w:t>4</w:t>
            </w:r>
            <w:r w:rsidRPr="00C855F0">
              <w:rPr>
                <w:b/>
                <w:bCs/>
                <w:sz w:val="18"/>
                <w:szCs w:val="18"/>
              </w:rPr>
              <w:fldChar w:fldCharType="end"/>
            </w:r>
          </w:p>
        </w:sdtContent>
      </w:sdt>
    </w:sdtContent>
  </w:sdt>
  <w:p w14:paraId="01253231" w14:textId="77777777" w:rsidR="00B364B7" w:rsidRDefault="00B3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90CF" w14:textId="0BE53B77" w:rsidR="00B364B7" w:rsidRPr="009C3FB0" w:rsidRDefault="00B364B7" w:rsidP="009C3FB0">
    <w:pPr>
      <w:pStyle w:val="Footer"/>
      <w:tabs>
        <w:tab w:val="clear" w:pos="9026"/>
      </w:tabs>
      <w:rPr>
        <w:sz w:val="18"/>
        <w:szCs w:val="18"/>
      </w:rPr>
    </w:pP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4C7CBA">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BD41" w14:textId="77777777" w:rsidR="00BC3CC3" w:rsidRDefault="00BC3CC3" w:rsidP="001948A0">
      <w:pPr>
        <w:spacing w:after="0" w:line="240" w:lineRule="auto"/>
      </w:pPr>
      <w:r>
        <w:separator/>
      </w:r>
    </w:p>
  </w:footnote>
  <w:footnote w:type="continuationSeparator" w:id="0">
    <w:p w14:paraId="7CF78EB5" w14:textId="77777777" w:rsidR="00BC3CC3" w:rsidRDefault="00BC3CC3" w:rsidP="001948A0">
      <w:pPr>
        <w:spacing w:after="0" w:line="240" w:lineRule="auto"/>
      </w:pPr>
      <w:r>
        <w:continuationSeparator/>
      </w:r>
    </w:p>
  </w:footnote>
  <w:footnote w:type="continuationNotice" w:id="1">
    <w:p w14:paraId="4381B382" w14:textId="77777777" w:rsidR="00BC3CC3" w:rsidRDefault="00BC3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7C6B" w14:textId="565AB4A5" w:rsidR="00B364B7" w:rsidRDefault="00B364B7"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807F826" wp14:editId="64C7B5D9">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UTLC</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w:t>
    </w:r>
    <w:r w:rsidR="00E95BFF">
      <w:rPr>
        <w:rFonts w:ascii="Arial" w:hAnsi="Arial" w:cs="Arial"/>
        <w:b/>
        <w:color w:val="1F4E79" w:themeColor="accent1" w:themeShade="80"/>
        <w:sz w:val="24"/>
        <w:szCs w:val="24"/>
      </w:rPr>
      <w:t>22</w:t>
    </w:r>
    <w:r w:rsidRPr="001948A0">
      <w:rPr>
        <w:rFonts w:ascii="Arial" w:hAnsi="Arial" w:cs="Arial"/>
        <w:b/>
        <w:color w:val="1F4E79" w:themeColor="accent1" w:themeShade="80"/>
        <w:sz w:val="24"/>
        <w:szCs w:val="24"/>
      </w:rPr>
      <w:t>_</w:t>
    </w:r>
    <w:r w:rsidR="00E95BFF">
      <w:rPr>
        <w:rFonts w:ascii="Arial" w:hAnsi="Arial" w:cs="Arial"/>
        <w:b/>
        <w:color w:val="1F4E79" w:themeColor="accent1" w:themeShade="80"/>
        <w:sz w:val="24"/>
        <w:szCs w:val="24"/>
      </w:rPr>
      <w:t>0</w:t>
    </w:r>
    <w:r w:rsidR="00B95DFD">
      <w:rPr>
        <w:rFonts w:ascii="Arial" w:hAnsi="Arial" w:cs="Arial"/>
        <w:b/>
        <w:color w:val="1F4E79" w:themeColor="accent1" w:themeShade="80"/>
        <w:sz w:val="24"/>
        <w:szCs w:val="24"/>
      </w:rPr>
      <w:t>5</w:t>
    </w:r>
    <w:r w:rsidRPr="001948A0">
      <w:rPr>
        <w:rFonts w:ascii="Arial" w:hAnsi="Arial" w:cs="Arial"/>
        <w:b/>
        <w:color w:val="1F4E79" w:themeColor="accent1" w:themeShade="80"/>
        <w:sz w:val="24"/>
        <w:szCs w:val="24"/>
      </w:rPr>
      <w:t>_</w:t>
    </w:r>
    <w:r w:rsidR="00E95BFF">
      <w:rPr>
        <w:rFonts w:ascii="Arial" w:hAnsi="Arial" w:cs="Arial"/>
        <w:b/>
        <w:color w:val="1F4E79" w:themeColor="accent1" w:themeShade="80"/>
        <w:sz w:val="24"/>
        <w:szCs w:val="24"/>
      </w:rPr>
      <w:t>1</w:t>
    </w:r>
    <w:r w:rsidR="00B95DFD">
      <w:rPr>
        <w:rFonts w:ascii="Arial" w:hAnsi="Arial" w:cs="Arial"/>
        <w:b/>
        <w:color w:val="1F4E79" w:themeColor="accent1" w:themeShade="80"/>
        <w:sz w:val="24"/>
        <w:szCs w:val="24"/>
      </w:rPr>
      <w:t>8</w:t>
    </w:r>
    <w:r w:rsidRPr="001948A0">
      <w:rPr>
        <w:rFonts w:ascii="Arial" w:hAnsi="Arial" w:cs="Arial"/>
        <w:b/>
        <w:color w:val="1F4E79" w:themeColor="accent1" w:themeShade="80"/>
        <w:sz w:val="24"/>
        <w:szCs w:val="24"/>
      </w:rPr>
      <w:t>_</w:t>
    </w:r>
    <w:r w:rsidR="003A24C0">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DD0D3"/>
    <w:multiLevelType w:val="hybridMultilevel"/>
    <w:tmpl w:val="5B80A26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8292FA5"/>
    <w:multiLevelType w:val="hybridMultilevel"/>
    <w:tmpl w:val="F684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1C0266"/>
    <w:multiLevelType w:val="hybridMultilevel"/>
    <w:tmpl w:val="40EE7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9335D8"/>
    <w:multiLevelType w:val="hybridMultilevel"/>
    <w:tmpl w:val="B86A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F2871"/>
    <w:multiLevelType w:val="hybridMultilevel"/>
    <w:tmpl w:val="594E23D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22985EA9"/>
    <w:multiLevelType w:val="hybridMultilevel"/>
    <w:tmpl w:val="919A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750A61"/>
    <w:multiLevelType w:val="hybridMultilevel"/>
    <w:tmpl w:val="CA744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F27EA1"/>
    <w:multiLevelType w:val="hybridMultilevel"/>
    <w:tmpl w:val="94DC5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03D49C5"/>
    <w:multiLevelType w:val="hybridMultilevel"/>
    <w:tmpl w:val="AE4E66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340015"/>
    <w:multiLevelType w:val="hybridMultilevel"/>
    <w:tmpl w:val="C070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878D0"/>
    <w:multiLevelType w:val="hybridMultilevel"/>
    <w:tmpl w:val="EC9CBC22"/>
    <w:lvl w:ilvl="0" w:tplc="35D465A2">
      <w:start w:val="1"/>
      <w:numFmt w:val="decimal"/>
      <w:lvlText w:val="%1."/>
      <w:lvlJc w:val="left"/>
      <w:pPr>
        <w:ind w:left="360" w:hanging="360"/>
      </w:pPr>
      <w:rPr>
        <w:b/>
        <w:color w:val="1F4E79"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374179"/>
    <w:multiLevelType w:val="hybridMultilevel"/>
    <w:tmpl w:val="ED54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6CE833"/>
    <w:multiLevelType w:val="hybridMultilevel"/>
    <w:tmpl w:val="A6C0244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4F1B0ABA"/>
    <w:multiLevelType w:val="hybridMultilevel"/>
    <w:tmpl w:val="56C0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45968"/>
    <w:multiLevelType w:val="hybridMultilevel"/>
    <w:tmpl w:val="7F1CF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1C753C"/>
    <w:multiLevelType w:val="hybridMultilevel"/>
    <w:tmpl w:val="6F97CD3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623F5DE6"/>
    <w:multiLevelType w:val="hybridMultilevel"/>
    <w:tmpl w:val="0498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2721A"/>
    <w:multiLevelType w:val="hybridMultilevel"/>
    <w:tmpl w:val="57A4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B53C9"/>
    <w:multiLevelType w:val="hybridMultilevel"/>
    <w:tmpl w:val="6004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DA25073"/>
    <w:multiLevelType w:val="hybridMultilevel"/>
    <w:tmpl w:val="8C8B7E1A"/>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89637009">
    <w:abstractNumId w:val="4"/>
  </w:num>
  <w:num w:numId="2" w16cid:durableId="1982804104">
    <w:abstractNumId w:val="18"/>
  </w:num>
  <w:num w:numId="3" w16cid:durableId="924336057">
    <w:abstractNumId w:val="0"/>
  </w:num>
  <w:num w:numId="4" w16cid:durableId="1801804928">
    <w:abstractNumId w:val="11"/>
  </w:num>
  <w:num w:numId="5" w16cid:durableId="2110732918">
    <w:abstractNumId w:val="22"/>
  </w:num>
  <w:num w:numId="6" w16cid:durableId="980503532">
    <w:abstractNumId w:val="13"/>
  </w:num>
  <w:num w:numId="7" w16cid:durableId="507213889">
    <w:abstractNumId w:val="21"/>
  </w:num>
  <w:num w:numId="8" w16cid:durableId="1444231701">
    <w:abstractNumId w:val="17"/>
  </w:num>
  <w:num w:numId="9" w16cid:durableId="2071996325">
    <w:abstractNumId w:val="10"/>
  </w:num>
  <w:num w:numId="10" w16cid:durableId="1651593549">
    <w:abstractNumId w:val="9"/>
  </w:num>
  <w:num w:numId="11" w16cid:durableId="1009797410">
    <w:abstractNumId w:val="5"/>
  </w:num>
  <w:num w:numId="12" w16cid:durableId="771819190">
    <w:abstractNumId w:val="23"/>
  </w:num>
  <w:num w:numId="13" w16cid:durableId="1883590884">
    <w:abstractNumId w:val="20"/>
  </w:num>
  <w:num w:numId="14" w16cid:durableId="1684933018">
    <w:abstractNumId w:val="14"/>
  </w:num>
  <w:num w:numId="15" w16cid:durableId="127432056">
    <w:abstractNumId w:val="8"/>
  </w:num>
  <w:num w:numId="16" w16cid:durableId="1665544349">
    <w:abstractNumId w:val="24"/>
  </w:num>
  <w:num w:numId="17" w16cid:durableId="137387181">
    <w:abstractNumId w:val="6"/>
  </w:num>
  <w:num w:numId="18" w16cid:durableId="2012023982">
    <w:abstractNumId w:val="19"/>
  </w:num>
  <w:num w:numId="19" w16cid:durableId="1868060110">
    <w:abstractNumId w:val="1"/>
  </w:num>
  <w:num w:numId="20" w16cid:durableId="453450648">
    <w:abstractNumId w:val="15"/>
  </w:num>
  <w:num w:numId="21" w16cid:durableId="1328047892">
    <w:abstractNumId w:val="3"/>
  </w:num>
  <w:num w:numId="22" w16cid:durableId="1105032579">
    <w:abstractNumId w:val="2"/>
  </w:num>
  <w:num w:numId="23" w16cid:durableId="298919554">
    <w:abstractNumId w:val="7"/>
  </w:num>
  <w:num w:numId="24" w16cid:durableId="1072431689">
    <w:abstractNumId w:val="16"/>
  </w:num>
  <w:num w:numId="25" w16cid:durableId="507257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5BAF"/>
    <w:rsid w:val="00007298"/>
    <w:rsid w:val="00011EA7"/>
    <w:rsid w:val="00014EE0"/>
    <w:rsid w:val="00016C68"/>
    <w:rsid w:val="00017CAE"/>
    <w:rsid w:val="000201C3"/>
    <w:rsid w:val="00021C98"/>
    <w:rsid w:val="0002207D"/>
    <w:rsid w:val="00023C23"/>
    <w:rsid w:val="0002544D"/>
    <w:rsid w:val="00034FCB"/>
    <w:rsid w:val="000364B7"/>
    <w:rsid w:val="00044CEC"/>
    <w:rsid w:val="00053271"/>
    <w:rsid w:val="00054A0E"/>
    <w:rsid w:val="0005701E"/>
    <w:rsid w:val="00057969"/>
    <w:rsid w:val="00057B40"/>
    <w:rsid w:val="00063D0F"/>
    <w:rsid w:val="0006490E"/>
    <w:rsid w:val="000668A0"/>
    <w:rsid w:val="0006721C"/>
    <w:rsid w:val="00070776"/>
    <w:rsid w:val="0007243D"/>
    <w:rsid w:val="00073EBF"/>
    <w:rsid w:val="00074A17"/>
    <w:rsid w:val="00077B46"/>
    <w:rsid w:val="00081C4A"/>
    <w:rsid w:val="000826B8"/>
    <w:rsid w:val="00090BC5"/>
    <w:rsid w:val="0009709A"/>
    <w:rsid w:val="000A1018"/>
    <w:rsid w:val="000A3407"/>
    <w:rsid w:val="000A366C"/>
    <w:rsid w:val="000A56F3"/>
    <w:rsid w:val="000B3659"/>
    <w:rsid w:val="000C18C4"/>
    <w:rsid w:val="000C2682"/>
    <w:rsid w:val="000C2982"/>
    <w:rsid w:val="000C3B89"/>
    <w:rsid w:val="000C4E30"/>
    <w:rsid w:val="000D0053"/>
    <w:rsid w:val="000D0CAC"/>
    <w:rsid w:val="000D717D"/>
    <w:rsid w:val="000E08DB"/>
    <w:rsid w:val="000E1822"/>
    <w:rsid w:val="000E4125"/>
    <w:rsid w:val="000E7154"/>
    <w:rsid w:val="000E73A5"/>
    <w:rsid w:val="000F0BF0"/>
    <w:rsid w:val="000F1916"/>
    <w:rsid w:val="000F22DD"/>
    <w:rsid w:val="000F3787"/>
    <w:rsid w:val="000F542C"/>
    <w:rsid w:val="00101836"/>
    <w:rsid w:val="00101A6F"/>
    <w:rsid w:val="00102AFD"/>
    <w:rsid w:val="00103A3D"/>
    <w:rsid w:val="00103B08"/>
    <w:rsid w:val="001077CC"/>
    <w:rsid w:val="001109A0"/>
    <w:rsid w:val="001153C1"/>
    <w:rsid w:val="0012305B"/>
    <w:rsid w:val="001333BE"/>
    <w:rsid w:val="001440FC"/>
    <w:rsid w:val="00144EFC"/>
    <w:rsid w:val="00145592"/>
    <w:rsid w:val="00151E51"/>
    <w:rsid w:val="00152368"/>
    <w:rsid w:val="001525E2"/>
    <w:rsid w:val="00152782"/>
    <w:rsid w:val="00157280"/>
    <w:rsid w:val="0015768B"/>
    <w:rsid w:val="00157D0B"/>
    <w:rsid w:val="0016276B"/>
    <w:rsid w:val="001705D4"/>
    <w:rsid w:val="00172637"/>
    <w:rsid w:val="00172B1D"/>
    <w:rsid w:val="0017481F"/>
    <w:rsid w:val="00174C3F"/>
    <w:rsid w:val="00180DFC"/>
    <w:rsid w:val="00182F50"/>
    <w:rsid w:val="00183930"/>
    <w:rsid w:val="00185C3D"/>
    <w:rsid w:val="00185FFE"/>
    <w:rsid w:val="00190D77"/>
    <w:rsid w:val="00191ADC"/>
    <w:rsid w:val="001930FA"/>
    <w:rsid w:val="001933E1"/>
    <w:rsid w:val="001948A0"/>
    <w:rsid w:val="00196835"/>
    <w:rsid w:val="001977FC"/>
    <w:rsid w:val="001A07EB"/>
    <w:rsid w:val="001A5772"/>
    <w:rsid w:val="001A640D"/>
    <w:rsid w:val="001B00EA"/>
    <w:rsid w:val="001B17EF"/>
    <w:rsid w:val="001B1EBC"/>
    <w:rsid w:val="001B2A05"/>
    <w:rsid w:val="001B4430"/>
    <w:rsid w:val="001B51EF"/>
    <w:rsid w:val="001B6047"/>
    <w:rsid w:val="001C0A4A"/>
    <w:rsid w:val="001C3447"/>
    <w:rsid w:val="001C3BBF"/>
    <w:rsid w:val="001C45A1"/>
    <w:rsid w:val="001C6FCD"/>
    <w:rsid w:val="001C7092"/>
    <w:rsid w:val="001C7F1E"/>
    <w:rsid w:val="001D40BB"/>
    <w:rsid w:val="001D6AB8"/>
    <w:rsid w:val="001D6FF7"/>
    <w:rsid w:val="001D712D"/>
    <w:rsid w:val="001E13B1"/>
    <w:rsid w:val="001E2367"/>
    <w:rsid w:val="001E2848"/>
    <w:rsid w:val="001E396F"/>
    <w:rsid w:val="001F1827"/>
    <w:rsid w:val="001F6D8D"/>
    <w:rsid w:val="001F71D3"/>
    <w:rsid w:val="00201C99"/>
    <w:rsid w:val="0020210D"/>
    <w:rsid w:val="0020485F"/>
    <w:rsid w:val="00205806"/>
    <w:rsid w:val="002104CA"/>
    <w:rsid w:val="002165CD"/>
    <w:rsid w:val="00221E04"/>
    <w:rsid w:val="00222797"/>
    <w:rsid w:val="002237F6"/>
    <w:rsid w:val="0022597E"/>
    <w:rsid w:val="002267DF"/>
    <w:rsid w:val="00231103"/>
    <w:rsid w:val="00231646"/>
    <w:rsid w:val="00232FB8"/>
    <w:rsid w:val="00234E34"/>
    <w:rsid w:val="00236595"/>
    <w:rsid w:val="00240C67"/>
    <w:rsid w:val="0024196F"/>
    <w:rsid w:val="00242074"/>
    <w:rsid w:val="00251A92"/>
    <w:rsid w:val="00251B7F"/>
    <w:rsid w:val="002529EC"/>
    <w:rsid w:val="00252B76"/>
    <w:rsid w:val="00252FD8"/>
    <w:rsid w:val="00256974"/>
    <w:rsid w:val="002570E9"/>
    <w:rsid w:val="00260023"/>
    <w:rsid w:val="00261BF9"/>
    <w:rsid w:val="00262430"/>
    <w:rsid w:val="002632E1"/>
    <w:rsid w:val="0026499C"/>
    <w:rsid w:val="00266B8D"/>
    <w:rsid w:val="0027264C"/>
    <w:rsid w:val="00272B9A"/>
    <w:rsid w:val="00272BD3"/>
    <w:rsid w:val="002742E8"/>
    <w:rsid w:val="00275146"/>
    <w:rsid w:val="00277349"/>
    <w:rsid w:val="00277358"/>
    <w:rsid w:val="00277711"/>
    <w:rsid w:val="002819CD"/>
    <w:rsid w:val="00282F44"/>
    <w:rsid w:val="00283365"/>
    <w:rsid w:val="00285340"/>
    <w:rsid w:val="00285AA0"/>
    <w:rsid w:val="00286202"/>
    <w:rsid w:val="0029202C"/>
    <w:rsid w:val="00292DE2"/>
    <w:rsid w:val="002955A8"/>
    <w:rsid w:val="0029753A"/>
    <w:rsid w:val="002A2089"/>
    <w:rsid w:val="002B21B0"/>
    <w:rsid w:val="002B2F42"/>
    <w:rsid w:val="002B46D8"/>
    <w:rsid w:val="002B56C6"/>
    <w:rsid w:val="002B73DD"/>
    <w:rsid w:val="002C184A"/>
    <w:rsid w:val="002C49AB"/>
    <w:rsid w:val="002C4AEA"/>
    <w:rsid w:val="002C5790"/>
    <w:rsid w:val="002D5BA2"/>
    <w:rsid w:val="002D5D81"/>
    <w:rsid w:val="002D6857"/>
    <w:rsid w:val="002D6C6A"/>
    <w:rsid w:val="002E0A83"/>
    <w:rsid w:val="002E1347"/>
    <w:rsid w:val="002E1C3D"/>
    <w:rsid w:val="002E2B56"/>
    <w:rsid w:val="002E45B8"/>
    <w:rsid w:val="002E48B8"/>
    <w:rsid w:val="002E646A"/>
    <w:rsid w:val="002E7BE5"/>
    <w:rsid w:val="002F07D4"/>
    <w:rsid w:val="002F2874"/>
    <w:rsid w:val="002F5173"/>
    <w:rsid w:val="00300B68"/>
    <w:rsid w:val="003029EB"/>
    <w:rsid w:val="003038CE"/>
    <w:rsid w:val="00303BE4"/>
    <w:rsid w:val="00303FE0"/>
    <w:rsid w:val="003065A6"/>
    <w:rsid w:val="003101A7"/>
    <w:rsid w:val="00313FF8"/>
    <w:rsid w:val="00316AB4"/>
    <w:rsid w:val="00320BB1"/>
    <w:rsid w:val="00322106"/>
    <w:rsid w:val="003243EC"/>
    <w:rsid w:val="00334343"/>
    <w:rsid w:val="00335BF3"/>
    <w:rsid w:val="00336672"/>
    <w:rsid w:val="00336992"/>
    <w:rsid w:val="003423F2"/>
    <w:rsid w:val="003426C3"/>
    <w:rsid w:val="00342D64"/>
    <w:rsid w:val="003466C6"/>
    <w:rsid w:val="00347294"/>
    <w:rsid w:val="00351771"/>
    <w:rsid w:val="00351B91"/>
    <w:rsid w:val="003542FD"/>
    <w:rsid w:val="00354BE5"/>
    <w:rsid w:val="00355726"/>
    <w:rsid w:val="00360B49"/>
    <w:rsid w:val="00360FF2"/>
    <w:rsid w:val="0036276A"/>
    <w:rsid w:val="00366047"/>
    <w:rsid w:val="00367333"/>
    <w:rsid w:val="00370A5E"/>
    <w:rsid w:val="00370F61"/>
    <w:rsid w:val="00371B98"/>
    <w:rsid w:val="0037201F"/>
    <w:rsid w:val="0037398B"/>
    <w:rsid w:val="003757AF"/>
    <w:rsid w:val="00375AC0"/>
    <w:rsid w:val="003765F1"/>
    <w:rsid w:val="003776C7"/>
    <w:rsid w:val="00377BBC"/>
    <w:rsid w:val="00386626"/>
    <w:rsid w:val="00386CA1"/>
    <w:rsid w:val="00387BCE"/>
    <w:rsid w:val="00394D34"/>
    <w:rsid w:val="0039611F"/>
    <w:rsid w:val="003A04CD"/>
    <w:rsid w:val="003A15DC"/>
    <w:rsid w:val="003A24C0"/>
    <w:rsid w:val="003A2BF3"/>
    <w:rsid w:val="003A5DC7"/>
    <w:rsid w:val="003A6C21"/>
    <w:rsid w:val="003A6EB7"/>
    <w:rsid w:val="003B0241"/>
    <w:rsid w:val="003B520C"/>
    <w:rsid w:val="003B7E13"/>
    <w:rsid w:val="003C2332"/>
    <w:rsid w:val="003C5386"/>
    <w:rsid w:val="003E2EC1"/>
    <w:rsid w:val="003E3CF0"/>
    <w:rsid w:val="003E485B"/>
    <w:rsid w:val="003E6629"/>
    <w:rsid w:val="003E7E70"/>
    <w:rsid w:val="003F192A"/>
    <w:rsid w:val="003F1C50"/>
    <w:rsid w:val="003F2660"/>
    <w:rsid w:val="003F2789"/>
    <w:rsid w:val="003F3B87"/>
    <w:rsid w:val="003F50C0"/>
    <w:rsid w:val="003F768B"/>
    <w:rsid w:val="0040213F"/>
    <w:rsid w:val="00403F77"/>
    <w:rsid w:val="00406C3D"/>
    <w:rsid w:val="004110BA"/>
    <w:rsid w:val="00415406"/>
    <w:rsid w:val="00420F63"/>
    <w:rsid w:val="00422308"/>
    <w:rsid w:val="0042420C"/>
    <w:rsid w:val="00425A6D"/>
    <w:rsid w:val="004278F1"/>
    <w:rsid w:val="00440EC2"/>
    <w:rsid w:val="004410CB"/>
    <w:rsid w:val="004430BB"/>
    <w:rsid w:val="00453094"/>
    <w:rsid w:val="0045370E"/>
    <w:rsid w:val="004563E8"/>
    <w:rsid w:val="00456450"/>
    <w:rsid w:val="00461261"/>
    <w:rsid w:val="00464E91"/>
    <w:rsid w:val="0046538F"/>
    <w:rsid w:val="00470314"/>
    <w:rsid w:val="004749E0"/>
    <w:rsid w:val="00477F00"/>
    <w:rsid w:val="0048425E"/>
    <w:rsid w:val="004866F3"/>
    <w:rsid w:val="00490ECF"/>
    <w:rsid w:val="00491827"/>
    <w:rsid w:val="00493CE1"/>
    <w:rsid w:val="00494A10"/>
    <w:rsid w:val="00497922"/>
    <w:rsid w:val="004A2470"/>
    <w:rsid w:val="004A63C8"/>
    <w:rsid w:val="004B0587"/>
    <w:rsid w:val="004B2EED"/>
    <w:rsid w:val="004B5876"/>
    <w:rsid w:val="004B6193"/>
    <w:rsid w:val="004B74FD"/>
    <w:rsid w:val="004C0462"/>
    <w:rsid w:val="004C1835"/>
    <w:rsid w:val="004C2FBE"/>
    <w:rsid w:val="004C7CBA"/>
    <w:rsid w:val="004C7EF7"/>
    <w:rsid w:val="004D0FD3"/>
    <w:rsid w:val="004D1EEA"/>
    <w:rsid w:val="004D28F9"/>
    <w:rsid w:val="004D2D8B"/>
    <w:rsid w:val="004D44F5"/>
    <w:rsid w:val="004D4A92"/>
    <w:rsid w:val="004D5487"/>
    <w:rsid w:val="004D548E"/>
    <w:rsid w:val="004E20FA"/>
    <w:rsid w:val="004E2A73"/>
    <w:rsid w:val="004E3870"/>
    <w:rsid w:val="004E7506"/>
    <w:rsid w:val="004F3D9F"/>
    <w:rsid w:val="004F663F"/>
    <w:rsid w:val="004F6AED"/>
    <w:rsid w:val="00500C85"/>
    <w:rsid w:val="00500F43"/>
    <w:rsid w:val="005012CF"/>
    <w:rsid w:val="00501E26"/>
    <w:rsid w:val="00503C36"/>
    <w:rsid w:val="005041B3"/>
    <w:rsid w:val="005064D6"/>
    <w:rsid w:val="0050767A"/>
    <w:rsid w:val="00511B45"/>
    <w:rsid w:val="005130EC"/>
    <w:rsid w:val="0051383C"/>
    <w:rsid w:val="00513AD3"/>
    <w:rsid w:val="0051490B"/>
    <w:rsid w:val="00515948"/>
    <w:rsid w:val="00521496"/>
    <w:rsid w:val="005226B1"/>
    <w:rsid w:val="00524D92"/>
    <w:rsid w:val="005309AD"/>
    <w:rsid w:val="00531E18"/>
    <w:rsid w:val="00532B38"/>
    <w:rsid w:val="00533D50"/>
    <w:rsid w:val="005350CC"/>
    <w:rsid w:val="00543B02"/>
    <w:rsid w:val="00543B9C"/>
    <w:rsid w:val="005461B7"/>
    <w:rsid w:val="00547615"/>
    <w:rsid w:val="00556C12"/>
    <w:rsid w:val="00556D48"/>
    <w:rsid w:val="00556F2C"/>
    <w:rsid w:val="00563BC2"/>
    <w:rsid w:val="005658E9"/>
    <w:rsid w:val="0056708F"/>
    <w:rsid w:val="00572132"/>
    <w:rsid w:val="00574B13"/>
    <w:rsid w:val="005802D5"/>
    <w:rsid w:val="00582AAC"/>
    <w:rsid w:val="00583395"/>
    <w:rsid w:val="00584BAA"/>
    <w:rsid w:val="0058756C"/>
    <w:rsid w:val="00591760"/>
    <w:rsid w:val="00591FEF"/>
    <w:rsid w:val="00593082"/>
    <w:rsid w:val="00593B3F"/>
    <w:rsid w:val="0059574C"/>
    <w:rsid w:val="005957C8"/>
    <w:rsid w:val="0059605F"/>
    <w:rsid w:val="0059751E"/>
    <w:rsid w:val="005A15FF"/>
    <w:rsid w:val="005A1708"/>
    <w:rsid w:val="005A66BE"/>
    <w:rsid w:val="005B35FC"/>
    <w:rsid w:val="005B40BE"/>
    <w:rsid w:val="005D160A"/>
    <w:rsid w:val="005D1B8D"/>
    <w:rsid w:val="005D2788"/>
    <w:rsid w:val="005D412C"/>
    <w:rsid w:val="005D5AAA"/>
    <w:rsid w:val="005D6538"/>
    <w:rsid w:val="005E348E"/>
    <w:rsid w:val="005E3A87"/>
    <w:rsid w:val="005E3B9E"/>
    <w:rsid w:val="005E5CF7"/>
    <w:rsid w:val="005E675F"/>
    <w:rsid w:val="005E7B50"/>
    <w:rsid w:val="005F120B"/>
    <w:rsid w:val="005F685E"/>
    <w:rsid w:val="005F68A7"/>
    <w:rsid w:val="006017E9"/>
    <w:rsid w:val="00603260"/>
    <w:rsid w:val="00603369"/>
    <w:rsid w:val="0061277E"/>
    <w:rsid w:val="0061652B"/>
    <w:rsid w:val="00616EC7"/>
    <w:rsid w:val="0062039C"/>
    <w:rsid w:val="00622352"/>
    <w:rsid w:val="0062539A"/>
    <w:rsid w:val="0062723E"/>
    <w:rsid w:val="0063025D"/>
    <w:rsid w:val="006317F7"/>
    <w:rsid w:val="00636715"/>
    <w:rsid w:val="00640516"/>
    <w:rsid w:val="0064214C"/>
    <w:rsid w:val="006440AA"/>
    <w:rsid w:val="006444EE"/>
    <w:rsid w:val="00645577"/>
    <w:rsid w:val="00652ECE"/>
    <w:rsid w:val="006579DA"/>
    <w:rsid w:val="00657B28"/>
    <w:rsid w:val="0066106B"/>
    <w:rsid w:val="0066173B"/>
    <w:rsid w:val="006635D9"/>
    <w:rsid w:val="00667233"/>
    <w:rsid w:val="00667DF8"/>
    <w:rsid w:val="006720A9"/>
    <w:rsid w:val="006769C7"/>
    <w:rsid w:val="00680E91"/>
    <w:rsid w:val="00681849"/>
    <w:rsid w:val="0068644A"/>
    <w:rsid w:val="00692D8B"/>
    <w:rsid w:val="006A0442"/>
    <w:rsid w:val="006A157E"/>
    <w:rsid w:val="006A2EF9"/>
    <w:rsid w:val="006A4FC9"/>
    <w:rsid w:val="006B0988"/>
    <w:rsid w:val="006B1B47"/>
    <w:rsid w:val="006C0CB2"/>
    <w:rsid w:val="006C4327"/>
    <w:rsid w:val="006C4E15"/>
    <w:rsid w:val="006C6A4A"/>
    <w:rsid w:val="006C7018"/>
    <w:rsid w:val="006C7182"/>
    <w:rsid w:val="006D7ED6"/>
    <w:rsid w:val="006E52B5"/>
    <w:rsid w:val="006F2A65"/>
    <w:rsid w:val="006F4F55"/>
    <w:rsid w:val="006F71F6"/>
    <w:rsid w:val="00700F77"/>
    <w:rsid w:val="00702670"/>
    <w:rsid w:val="00703FE3"/>
    <w:rsid w:val="007049E7"/>
    <w:rsid w:val="00704BF3"/>
    <w:rsid w:val="00707948"/>
    <w:rsid w:val="00715573"/>
    <w:rsid w:val="007170EC"/>
    <w:rsid w:val="00720496"/>
    <w:rsid w:val="00725D39"/>
    <w:rsid w:val="007261D4"/>
    <w:rsid w:val="00733979"/>
    <w:rsid w:val="0073515C"/>
    <w:rsid w:val="00735B32"/>
    <w:rsid w:val="00737422"/>
    <w:rsid w:val="00740079"/>
    <w:rsid w:val="00741506"/>
    <w:rsid w:val="007417BF"/>
    <w:rsid w:val="00743C67"/>
    <w:rsid w:val="00751F55"/>
    <w:rsid w:val="007571CB"/>
    <w:rsid w:val="00757D7B"/>
    <w:rsid w:val="00760227"/>
    <w:rsid w:val="00762AE6"/>
    <w:rsid w:val="007647F0"/>
    <w:rsid w:val="00765777"/>
    <w:rsid w:val="00765895"/>
    <w:rsid w:val="00767BCC"/>
    <w:rsid w:val="00773A42"/>
    <w:rsid w:val="007774DE"/>
    <w:rsid w:val="00782783"/>
    <w:rsid w:val="00783A53"/>
    <w:rsid w:val="007840C1"/>
    <w:rsid w:val="0078608B"/>
    <w:rsid w:val="00790DEE"/>
    <w:rsid w:val="0079343F"/>
    <w:rsid w:val="00795715"/>
    <w:rsid w:val="007A0821"/>
    <w:rsid w:val="007A0D82"/>
    <w:rsid w:val="007A32DC"/>
    <w:rsid w:val="007A3E48"/>
    <w:rsid w:val="007A74AA"/>
    <w:rsid w:val="007C1030"/>
    <w:rsid w:val="007C1932"/>
    <w:rsid w:val="007C2CBA"/>
    <w:rsid w:val="007C3568"/>
    <w:rsid w:val="007C4A1C"/>
    <w:rsid w:val="007D24C0"/>
    <w:rsid w:val="007D67BF"/>
    <w:rsid w:val="007E2C55"/>
    <w:rsid w:val="007E3F4F"/>
    <w:rsid w:val="007E4C6A"/>
    <w:rsid w:val="007E6115"/>
    <w:rsid w:val="007F0290"/>
    <w:rsid w:val="007F3E16"/>
    <w:rsid w:val="00801BF6"/>
    <w:rsid w:val="00802D71"/>
    <w:rsid w:val="008031AF"/>
    <w:rsid w:val="00806CB2"/>
    <w:rsid w:val="008072EC"/>
    <w:rsid w:val="00807507"/>
    <w:rsid w:val="00812697"/>
    <w:rsid w:val="008133B4"/>
    <w:rsid w:val="008134CB"/>
    <w:rsid w:val="00815861"/>
    <w:rsid w:val="00820F32"/>
    <w:rsid w:val="008255EC"/>
    <w:rsid w:val="00830994"/>
    <w:rsid w:val="00831997"/>
    <w:rsid w:val="0083602F"/>
    <w:rsid w:val="00845580"/>
    <w:rsid w:val="008504A5"/>
    <w:rsid w:val="0085052F"/>
    <w:rsid w:val="008603DC"/>
    <w:rsid w:val="00860412"/>
    <w:rsid w:val="0086058F"/>
    <w:rsid w:val="00860C73"/>
    <w:rsid w:val="00860ED0"/>
    <w:rsid w:val="008663F8"/>
    <w:rsid w:val="00866474"/>
    <w:rsid w:val="008666B7"/>
    <w:rsid w:val="00867236"/>
    <w:rsid w:val="00873A24"/>
    <w:rsid w:val="008748ED"/>
    <w:rsid w:val="00874C67"/>
    <w:rsid w:val="0087668D"/>
    <w:rsid w:val="0087763E"/>
    <w:rsid w:val="0087779C"/>
    <w:rsid w:val="00877AD7"/>
    <w:rsid w:val="00882678"/>
    <w:rsid w:val="0089187C"/>
    <w:rsid w:val="00894FAD"/>
    <w:rsid w:val="00895B25"/>
    <w:rsid w:val="008A0795"/>
    <w:rsid w:val="008A0F7B"/>
    <w:rsid w:val="008A13B7"/>
    <w:rsid w:val="008A21C3"/>
    <w:rsid w:val="008A3827"/>
    <w:rsid w:val="008A5A5C"/>
    <w:rsid w:val="008A5C8C"/>
    <w:rsid w:val="008A75DA"/>
    <w:rsid w:val="008B2CAE"/>
    <w:rsid w:val="008B5AEF"/>
    <w:rsid w:val="008B7651"/>
    <w:rsid w:val="008C3265"/>
    <w:rsid w:val="008D1138"/>
    <w:rsid w:val="008F20BD"/>
    <w:rsid w:val="008F458A"/>
    <w:rsid w:val="008F48C9"/>
    <w:rsid w:val="008F7DFF"/>
    <w:rsid w:val="00903148"/>
    <w:rsid w:val="00903CB9"/>
    <w:rsid w:val="0090635C"/>
    <w:rsid w:val="00910833"/>
    <w:rsid w:val="00911759"/>
    <w:rsid w:val="00911E84"/>
    <w:rsid w:val="00912DDB"/>
    <w:rsid w:val="00913346"/>
    <w:rsid w:val="00913C35"/>
    <w:rsid w:val="00913EA5"/>
    <w:rsid w:val="009234BE"/>
    <w:rsid w:val="00936882"/>
    <w:rsid w:val="009375E9"/>
    <w:rsid w:val="0094085C"/>
    <w:rsid w:val="00940FE5"/>
    <w:rsid w:val="00942177"/>
    <w:rsid w:val="00944728"/>
    <w:rsid w:val="00946FC4"/>
    <w:rsid w:val="00950702"/>
    <w:rsid w:val="00950FF3"/>
    <w:rsid w:val="009517B6"/>
    <w:rsid w:val="00953AEB"/>
    <w:rsid w:val="00954645"/>
    <w:rsid w:val="00955906"/>
    <w:rsid w:val="00955D05"/>
    <w:rsid w:val="00955E60"/>
    <w:rsid w:val="00955E9B"/>
    <w:rsid w:val="00956D3D"/>
    <w:rsid w:val="00956E17"/>
    <w:rsid w:val="0096409C"/>
    <w:rsid w:val="00964D23"/>
    <w:rsid w:val="0096722C"/>
    <w:rsid w:val="0097095E"/>
    <w:rsid w:val="00974D0D"/>
    <w:rsid w:val="0097549C"/>
    <w:rsid w:val="0098108B"/>
    <w:rsid w:val="00982596"/>
    <w:rsid w:val="00983486"/>
    <w:rsid w:val="009840F9"/>
    <w:rsid w:val="00985F10"/>
    <w:rsid w:val="009978E8"/>
    <w:rsid w:val="00997A53"/>
    <w:rsid w:val="00997C24"/>
    <w:rsid w:val="009A17EA"/>
    <w:rsid w:val="009A4528"/>
    <w:rsid w:val="009A5EFC"/>
    <w:rsid w:val="009B2609"/>
    <w:rsid w:val="009B452E"/>
    <w:rsid w:val="009B4556"/>
    <w:rsid w:val="009C232D"/>
    <w:rsid w:val="009C3FB0"/>
    <w:rsid w:val="009D05FF"/>
    <w:rsid w:val="009D06C5"/>
    <w:rsid w:val="009D427D"/>
    <w:rsid w:val="009D6F33"/>
    <w:rsid w:val="009E2283"/>
    <w:rsid w:val="009E3777"/>
    <w:rsid w:val="009E51E0"/>
    <w:rsid w:val="009E76E2"/>
    <w:rsid w:val="009F2D72"/>
    <w:rsid w:val="009F6FCE"/>
    <w:rsid w:val="00A044DB"/>
    <w:rsid w:val="00A04DD7"/>
    <w:rsid w:val="00A05FE3"/>
    <w:rsid w:val="00A07A25"/>
    <w:rsid w:val="00A101FD"/>
    <w:rsid w:val="00A10A34"/>
    <w:rsid w:val="00A20E14"/>
    <w:rsid w:val="00A300EC"/>
    <w:rsid w:val="00A31267"/>
    <w:rsid w:val="00A36369"/>
    <w:rsid w:val="00A36E75"/>
    <w:rsid w:val="00A36EE9"/>
    <w:rsid w:val="00A37F00"/>
    <w:rsid w:val="00A42C15"/>
    <w:rsid w:val="00A44061"/>
    <w:rsid w:val="00A46EE9"/>
    <w:rsid w:val="00A47E90"/>
    <w:rsid w:val="00A52A47"/>
    <w:rsid w:val="00A53865"/>
    <w:rsid w:val="00A5493A"/>
    <w:rsid w:val="00A60838"/>
    <w:rsid w:val="00A609E1"/>
    <w:rsid w:val="00A60D49"/>
    <w:rsid w:val="00A61D63"/>
    <w:rsid w:val="00A63A28"/>
    <w:rsid w:val="00A75ADB"/>
    <w:rsid w:val="00A7667C"/>
    <w:rsid w:val="00A76BBB"/>
    <w:rsid w:val="00A81B71"/>
    <w:rsid w:val="00A81D37"/>
    <w:rsid w:val="00A83A85"/>
    <w:rsid w:val="00A84356"/>
    <w:rsid w:val="00A91C11"/>
    <w:rsid w:val="00A954D7"/>
    <w:rsid w:val="00A96B3A"/>
    <w:rsid w:val="00A97B24"/>
    <w:rsid w:val="00AA12E7"/>
    <w:rsid w:val="00AA3E83"/>
    <w:rsid w:val="00AA54FA"/>
    <w:rsid w:val="00AA6E9B"/>
    <w:rsid w:val="00AB2D3C"/>
    <w:rsid w:val="00AB3EF5"/>
    <w:rsid w:val="00AB454E"/>
    <w:rsid w:val="00AB4AFE"/>
    <w:rsid w:val="00AB5F52"/>
    <w:rsid w:val="00AB6E32"/>
    <w:rsid w:val="00AB7238"/>
    <w:rsid w:val="00AC1148"/>
    <w:rsid w:val="00AC15CA"/>
    <w:rsid w:val="00AC1625"/>
    <w:rsid w:val="00AC254E"/>
    <w:rsid w:val="00AC2A40"/>
    <w:rsid w:val="00AC36C6"/>
    <w:rsid w:val="00AC3B69"/>
    <w:rsid w:val="00AC6786"/>
    <w:rsid w:val="00AD2288"/>
    <w:rsid w:val="00AD37F9"/>
    <w:rsid w:val="00AD46DB"/>
    <w:rsid w:val="00AE0955"/>
    <w:rsid w:val="00AE0CF6"/>
    <w:rsid w:val="00AE42CE"/>
    <w:rsid w:val="00AF55F6"/>
    <w:rsid w:val="00B00DA6"/>
    <w:rsid w:val="00B011AF"/>
    <w:rsid w:val="00B01F47"/>
    <w:rsid w:val="00B03280"/>
    <w:rsid w:val="00B0333D"/>
    <w:rsid w:val="00B04052"/>
    <w:rsid w:val="00B07E21"/>
    <w:rsid w:val="00B106E4"/>
    <w:rsid w:val="00B168D9"/>
    <w:rsid w:val="00B170C0"/>
    <w:rsid w:val="00B21AB3"/>
    <w:rsid w:val="00B23DFC"/>
    <w:rsid w:val="00B263FE"/>
    <w:rsid w:val="00B2679F"/>
    <w:rsid w:val="00B26AA5"/>
    <w:rsid w:val="00B30B5D"/>
    <w:rsid w:val="00B321D9"/>
    <w:rsid w:val="00B34A53"/>
    <w:rsid w:val="00B35ADD"/>
    <w:rsid w:val="00B364B7"/>
    <w:rsid w:val="00B40EB2"/>
    <w:rsid w:val="00B42565"/>
    <w:rsid w:val="00B43AD3"/>
    <w:rsid w:val="00B45E16"/>
    <w:rsid w:val="00B4600D"/>
    <w:rsid w:val="00B462E0"/>
    <w:rsid w:val="00B46CD6"/>
    <w:rsid w:val="00B47A16"/>
    <w:rsid w:val="00B50357"/>
    <w:rsid w:val="00B50BB7"/>
    <w:rsid w:val="00B5279D"/>
    <w:rsid w:val="00B5465D"/>
    <w:rsid w:val="00B5597D"/>
    <w:rsid w:val="00B61AC9"/>
    <w:rsid w:val="00B64D45"/>
    <w:rsid w:val="00B65CBF"/>
    <w:rsid w:val="00B67F40"/>
    <w:rsid w:val="00B7229C"/>
    <w:rsid w:val="00B73040"/>
    <w:rsid w:val="00B74621"/>
    <w:rsid w:val="00B82068"/>
    <w:rsid w:val="00B84C8A"/>
    <w:rsid w:val="00B86548"/>
    <w:rsid w:val="00B87E6A"/>
    <w:rsid w:val="00B901C3"/>
    <w:rsid w:val="00B90323"/>
    <w:rsid w:val="00B90497"/>
    <w:rsid w:val="00B90801"/>
    <w:rsid w:val="00B95DFD"/>
    <w:rsid w:val="00B97093"/>
    <w:rsid w:val="00B97216"/>
    <w:rsid w:val="00B977AB"/>
    <w:rsid w:val="00BA536F"/>
    <w:rsid w:val="00BA55B8"/>
    <w:rsid w:val="00BB1747"/>
    <w:rsid w:val="00BB28BD"/>
    <w:rsid w:val="00BB47DA"/>
    <w:rsid w:val="00BB5429"/>
    <w:rsid w:val="00BB67DB"/>
    <w:rsid w:val="00BB7ABF"/>
    <w:rsid w:val="00BC0BEA"/>
    <w:rsid w:val="00BC2624"/>
    <w:rsid w:val="00BC3CC3"/>
    <w:rsid w:val="00BD0FE8"/>
    <w:rsid w:val="00BD1DEB"/>
    <w:rsid w:val="00BD236F"/>
    <w:rsid w:val="00BD3917"/>
    <w:rsid w:val="00BD706D"/>
    <w:rsid w:val="00BD7AFA"/>
    <w:rsid w:val="00BE19C1"/>
    <w:rsid w:val="00BE46BC"/>
    <w:rsid w:val="00BF0553"/>
    <w:rsid w:val="00BF196E"/>
    <w:rsid w:val="00BF1D54"/>
    <w:rsid w:val="00BF3A96"/>
    <w:rsid w:val="00BF751F"/>
    <w:rsid w:val="00C057FB"/>
    <w:rsid w:val="00C05F0B"/>
    <w:rsid w:val="00C0768A"/>
    <w:rsid w:val="00C07DD1"/>
    <w:rsid w:val="00C105ED"/>
    <w:rsid w:val="00C10F11"/>
    <w:rsid w:val="00C114DC"/>
    <w:rsid w:val="00C11959"/>
    <w:rsid w:val="00C131D3"/>
    <w:rsid w:val="00C135F1"/>
    <w:rsid w:val="00C203EF"/>
    <w:rsid w:val="00C31018"/>
    <w:rsid w:val="00C32F93"/>
    <w:rsid w:val="00C330FE"/>
    <w:rsid w:val="00C337CD"/>
    <w:rsid w:val="00C3542A"/>
    <w:rsid w:val="00C36EB6"/>
    <w:rsid w:val="00C3748D"/>
    <w:rsid w:val="00C37ADF"/>
    <w:rsid w:val="00C40874"/>
    <w:rsid w:val="00C4308B"/>
    <w:rsid w:val="00C50824"/>
    <w:rsid w:val="00C50EC2"/>
    <w:rsid w:val="00C520F0"/>
    <w:rsid w:val="00C527A3"/>
    <w:rsid w:val="00C531C5"/>
    <w:rsid w:val="00C57CC3"/>
    <w:rsid w:val="00C61E84"/>
    <w:rsid w:val="00C63C51"/>
    <w:rsid w:val="00C644CE"/>
    <w:rsid w:val="00C66AC9"/>
    <w:rsid w:val="00C67DBA"/>
    <w:rsid w:val="00C70004"/>
    <w:rsid w:val="00C701B1"/>
    <w:rsid w:val="00C7325D"/>
    <w:rsid w:val="00C74C3D"/>
    <w:rsid w:val="00C76C2B"/>
    <w:rsid w:val="00C855F0"/>
    <w:rsid w:val="00C8673F"/>
    <w:rsid w:val="00CA20FE"/>
    <w:rsid w:val="00CA2609"/>
    <w:rsid w:val="00CA3863"/>
    <w:rsid w:val="00CB09CA"/>
    <w:rsid w:val="00CB09F9"/>
    <w:rsid w:val="00CB3636"/>
    <w:rsid w:val="00CB4022"/>
    <w:rsid w:val="00CB63F2"/>
    <w:rsid w:val="00CC3509"/>
    <w:rsid w:val="00CC3D4E"/>
    <w:rsid w:val="00CC42F3"/>
    <w:rsid w:val="00CC5F8B"/>
    <w:rsid w:val="00CD08FC"/>
    <w:rsid w:val="00CD0F70"/>
    <w:rsid w:val="00CD5D37"/>
    <w:rsid w:val="00CE28F3"/>
    <w:rsid w:val="00CE7037"/>
    <w:rsid w:val="00CF573F"/>
    <w:rsid w:val="00CF7DC2"/>
    <w:rsid w:val="00D02376"/>
    <w:rsid w:val="00D03F97"/>
    <w:rsid w:val="00D06FC7"/>
    <w:rsid w:val="00D14384"/>
    <w:rsid w:val="00D158B7"/>
    <w:rsid w:val="00D178CB"/>
    <w:rsid w:val="00D17FE6"/>
    <w:rsid w:val="00D270BE"/>
    <w:rsid w:val="00D33EF4"/>
    <w:rsid w:val="00D35F48"/>
    <w:rsid w:val="00D4040F"/>
    <w:rsid w:val="00D5313B"/>
    <w:rsid w:val="00D54A0A"/>
    <w:rsid w:val="00D55AA9"/>
    <w:rsid w:val="00D606AA"/>
    <w:rsid w:val="00D60C89"/>
    <w:rsid w:val="00D60F81"/>
    <w:rsid w:val="00D615CE"/>
    <w:rsid w:val="00D62FF0"/>
    <w:rsid w:val="00D634A8"/>
    <w:rsid w:val="00D66880"/>
    <w:rsid w:val="00D707DE"/>
    <w:rsid w:val="00D710A4"/>
    <w:rsid w:val="00D73275"/>
    <w:rsid w:val="00D76B00"/>
    <w:rsid w:val="00D7744F"/>
    <w:rsid w:val="00D80868"/>
    <w:rsid w:val="00D83904"/>
    <w:rsid w:val="00D8427B"/>
    <w:rsid w:val="00D850C0"/>
    <w:rsid w:val="00D85608"/>
    <w:rsid w:val="00D93979"/>
    <w:rsid w:val="00D97212"/>
    <w:rsid w:val="00D975D6"/>
    <w:rsid w:val="00DA2B4F"/>
    <w:rsid w:val="00DA30A8"/>
    <w:rsid w:val="00DA5E4A"/>
    <w:rsid w:val="00DB1F54"/>
    <w:rsid w:val="00DB3E50"/>
    <w:rsid w:val="00DB55D6"/>
    <w:rsid w:val="00DB6C3B"/>
    <w:rsid w:val="00DC14B2"/>
    <w:rsid w:val="00DC5546"/>
    <w:rsid w:val="00DD032D"/>
    <w:rsid w:val="00DD45BA"/>
    <w:rsid w:val="00DD4C99"/>
    <w:rsid w:val="00DD69C7"/>
    <w:rsid w:val="00DD76D7"/>
    <w:rsid w:val="00DE22B0"/>
    <w:rsid w:val="00DE47EB"/>
    <w:rsid w:val="00DE5B23"/>
    <w:rsid w:val="00DE5F5F"/>
    <w:rsid w:val="00DF0FD2"/>
    <w:rsid w:val="00DF1A60"/>
    <w:rsid w:val="00DF1BF0"/>
    <w:rsid w:val="00DF32BA"/>
    <w:rsid w:val="00DF3AC1"/>
    <w:rsid w:val="00DF408C"/>
    <w:rsid w:val="00DF4460"/>
    <w:rsid w:val="00DF55FC"/>
    <w:rsid w:val="00E00D12"/>
    <w:rsid w:val="00E01CB0"/>
    <w:rsid w:val="00E062E7"/>
    <w:rsid w:val="00E10574"/>
    <w:rsid w:val="00E10919"/>
    <w:rsid w:val="00E111A6"/>
    <w:rsid w:val="00E1245D"/>
    <w:rsid w:val="00E13E5E"/>
    <w:rsid w:val="00E17C78"/>
    <w:rsid w:val="00E2544C"/>
    <w:rsid w:val="00E27B48"/>
    <w:rsid w:val="00E30CCC"/>
    <w:rsid w:val="00E4211B"/>
    <w:rsid w:val="00E44032"/>
    <w:rsid w:val="00E44A8A"/>
    <w:rsid w:val="00E44E81"/>
    <w:rsid w:val="00E47385"/>
    <w:rsid w:val="00E47559"/>
    <w:rsid w:val="00E47A83"/>
    <w:rsid w:val="00E50836"/>
    <w:rsid w:val="00E5133B"/>
    <w:rsid w:val="00E5150E"/>
    <w:rsid w:val="00E522A5"/>
    <w:rsid w:val="00E579FA"/>
    <w:rsid w:val="00E61BF5"/>
    <w:rsid w:val="00E61E16"/>
    <w:rsid w:val="00E67A39"/>
    <w:rsid w:val="00E67B58"/>
    <w:rsid w:val="00E67D8B"/>
    <w:rsid w:val="00E77816"/>
    <w:rsid w:val="00E80A71"/>
    <w:rsid w:val="00E80CB2"/>
    <w:rsid w:val="00E8232C"/>
    <w:rsid w:val="00E82F23"/>
    <w:rsid w:val="00E84899"/>
    <w:rsid w:val="00E86365"/>
    <w:rsid w:val="00E87443"/>
    <w:rsid w:val="00E8772E"/>
    <w:rsid w:val="00E9232D"/>
    <w:rsid w:val="00E95BFF"/>
    <w:rsid w:val="00E95FC0"/>
    <w:rsid w:val="00EA0729"/>
    <w:rsid w:val="00EA0A59"/>
    <w:rsid w:val="00EA1B6E"/>
    <w:rsid w:val="00EA37E3"/>
    <w:rsid w:val="00EA57EE"/>
    <w:rsid w:val="00EA5CB8"/>
    <w:rsid w:val="00EA64E5"/>
    <w:rsid w:val="00EB0801"/>
    <w:rsid w:val="00EB2906"/>
    <w:rsid w:val="00EB6FDB"/>
    <w:rsid w:val="00EC1B4B"/>
    <w:rsid w:val="00EC45C3"/>
    <w:rsid w:val="00EC4913"/>
    <w:rsid w:val="00EC726A"/>
    <w:rsid w:val="00EC7BD5"/>
    <w:rsid w:val="00ED2988"/>
    <w:rsid w:val="00ED3D0D"/>
    <w:rsid w:val="00EE2924"/>
    <w:rsid w:val="00EE4309"/>
    <w:rsid w:val="00EF1978"/>
    <w:rsid w:val="00EF3597"/>
    <w:rsid w:val="00EF7007"/>
    <w:rsid w:val="00F00A1D"/>
    <w:rsid w:val="00F0274F"/>
    <w:rsid w:val="00F02EFB"/>
    <w:rsid w:val="00F039F7"/>
    <w:rsid w:val="00F05111"/>
    <w:rsid w:val="00F06947"/>
    <w:rsid w:val="00F07580"/>
    <w:rsid w:val="00F11A85"/>
    <w:rsid w:val="00F14448"/>
    <w:rsid w:val="00F14618"/>
    <w:rsid w:val="00F15FAC"/>
    <w:rsid w:val="00F2219D"/>
    <w:rsid w:val="00F247D6"/>
    <w:rsid w:val="00F30239"/>
    <w:rsid w:val="00F32236"/>
    <w:rsid w:val="00F362B3"/>
    <w:rsid w:val="00F4008C"/>
    <w:rsid w:val="00F4536A"/>
    <w:rsid w:val="00F50F28"/>
    <w:rsid w:val="00F52121"/>
    <w:rsid w:val="00F562B2"/>
    <w:rsid w:val="00F565B6"/>
    <w:rsid w:val="00F61D11"/>
    <w:rsid w:val="00F72957"/>
    <w:rsid w:val="00F73496"/>
    <w:rsid w:val="00F77D7D"/>
    <w:rsid w:val="00F82317"/>
    <w:rsid w:val="00F82B9B"/>
    <w:rsid w:val="00F84732"/>
    <w:rsid w:val="00F86645"/>
    <w:rsid w:val="00F868AC"/>
    <w:rsid w:val="00F87D93"/>
    <w:rsid w:val="00F929F3"/>
    <w:rsid w:val="00F92C61"/>
    <w:rsid w:val="00F93C62"/>
    <w:rsid w:val="00F94EBB"/>
    <w:rsid w:val="00F96B4C"/>
    <w:rsid w:val="00F97E65"/>
    <w:rsid w:val="00FA5DDF"/>
    <w:rsid w:val="00FA72A4"/>
    <w:rsid w:val="00FB3066"/>
    <w:rsid w:val="00FC09C3"/>
    <w:rsid w:val="00FC3512"/>
    <w:rsid w:val="00FC37D4"/>
    <w:rsid w:val="00FC6F5E"/>
    <w:rsid w:val="00FD150B"/>
    <w:rsid w:val="00FD29DB"/>
    <w:rsid w:val="00FD44C5"/>
    <w:rsid w:val="00FD705E"/>
    <w:rsid w:val="00FE029B"/>
    <w:rsid w:val="00FE1D10"/>
    <w:rsid w:val="00FE2DCB"/>
    <w:rsid w:val="00FE5030"/>
    <w:rsid w:val="00FF4125"/>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1D99"/>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B50357"/>
    <w:pPr>
      <w:spacing w:after="0" w:line="240" w:lineRule="auto"/>
      <w:ind w:left="432" w:hanging="432"/>
      <w:jc w:val="both"/>
    </w:pPr>
    <w:rPr>
      <w:rFonts w:ascii="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B50357"/>
    <w:rPr>
      <w:rFonts w:ascii="Times New Roman" w:hAnsi="Times New Roman" w:cs="Times New Roman"/>
      <w:b/>
      <w:bCs/>
      <w:sz w:val="24"/>
      <w:szCs w:val="24"/>
    </w:rPr>
  </w:style>
  <w:style w:type="paragraph" w:customStyle="1" w:styleId="Default">
    <w:name w:val="Default"/>
    <w:basedOn w:val="Normal"/>
    <w:rsid w:val="00B50357"/>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41506"/>
    <w:pPr>
      <w:spacing w:after="0" w:line="240" w:lineRule="auto"/>
    </w:pPr>
    <w:rPr>
      <w:rFonts w:ascii="Arial" w:hAnsi="Arial" w:cs="Arial"/>
    </w:rPr>
  </w:style>
  <w:style w:type="paragraph" w:styleId="Revision">
    <w:name w:val="Revision"/>
    <w:hidden/>
    <w:uiPriority w:val="99"/>
    <w:semiHidden/>
    <w:rsid w:val="008A0795"/>
    <w:pPr>
      <w:spacing w:after="0" w:line="240" w:lineRule="auto"/>
    </w:pPr>
  </w:style>
  <w:style w:type="character" w:styleId="Hyperlink">
    <w:name w:val="Hyperlink"/>
    <w:basedOn w:val="DefaultParagraphFont"/>
    <w:uiPriority w:val="99"/>
    <w:unhideWhenUsed/>
    <w:rsid w:val="00101836"/>
    <w:rPr>
      <w:color w:val="0563C1" w:themeColor="hyperlink"/>
      <w:u w:val="single"/>
    </w:rPr>
  </w:style>
  <w:style w:type="character" w:styleId="FollowedHyperlink">
    <w:name w:val="FollowedHyperlink"/>
    <w:basedOn w:val="DefaultParagraphFont"/>
    <w:uiPriority w:val="99"/>
    <w:semiHidden/>
    <w:unhideWhenUsed/>
    <w:rsid w:val="008C3265"/>
    <w:rPr>
      <w:color w:val="954F72" w:themeColor="followedHyperlink"/>
      <w:u w:val="single"/>
    </w:rPr>
  </w:style>
  <w:style w:type="paragraph" w:customStyle="1" w:styleId="paragraph">
    <w:name w:val="paragraph"/>
    <w:basedOn w:val="Normal"/>
    <w:rsid w:val="00E27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7B48"/>
  </w:style>
  <w:style w:type="character" w:customStyle="1" w:styleId="eop">
    <w:name w:val="eop"/>
    <w:basedOn w:val="DefaultParagraphFont"/>
    <w:rsid w:val="00E27B48"/>
  </w:style>
  <w:style w:type="table" w:customStyle="1" w:styleId="TableGrid1">
    <w:name w:val="Table Grid1"/>
    <w:basedOn w:val="TableNormal"/>
    <w:next w:val="TableGrid"/>
    <w:uiPriority w:val="39"/>
    <w:rsid w:val="00A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857"/>
    <w:rPr>
      <w:sz w:val="16"/>
      <w:szCs w:val="16"/>
    </w:rPr>
  </w:style>
  <w:style w:type="paragraph" w:styleId="CommentText">
    <w:name w:val="annotation text"/>
    <w:basedOn w:val="Normal"/>
    <w:link w:val="CommentTextChar"/>
    <w:uiPriority w:val="99"/>
    <w:unhideWhenUsed/>
    <w:rsid w:val="002D6857"/>
    <w:pPr>
      <w:spacing w:line="240" w:lineRule="auto"/>
    </w:pPr>
    <w:rPr>
      <w:sz w:val="20"/>
      <w:szCs w:val="20"/>
    </w:rPr>
  </w:style>
  <w:style w:type="character" w:customStyle="1" w:styleId="CommentTextChar">
    <w:name w:val="Comment Text Char"/>
    <w:basedOn w:val="DefaultParagraphFont"/>
    <w:link w:val="CommentText"/>
    <w:uiPriority w:val="99"/>
    <w:rsid w:val="002D6857"/>
    <w:rPr>
      <w:sz w:val="20"/>
      <w:szCs w:val="20"/>
    </w:rPr>
  </w:style>
  <w:style w:type="paragraph" w:styleId="CommentSubject">
    <w:name w:val="annotation subject"/>
    <w:basedOn w:val="CommentText"/>
    <w:next w:val="CommentText"/>
    <w:link w:val="CommentSubjectChar"/>
    <w:uiPriority w:val="99"/>
    <w:semiHidden/>
    <w:unhideWhenUsed/>
    <w:rsid w:val="002D6857"/>
    <w:rPr>
      <w:b/>
      <w:bCs/>
    </w:rPr>
  </w:style>
  <w:style w:type="character" w:customStyle="1" w:styleId="CommentSubjectChar">
    <w:name w:val="Comment Subject Char"/>
    <w:basedOn w:val="CommentTextChar"/>
    <w:link w:val="CommentSubject"/>
    <w:uiPriority w:val="99"/>
    <w:semiHidden/>
    <w:rsid w:val="002D6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4232">
      <w:bodyDiv w:val="1"/>
      <w:marLeft w:val="0"/>
      <w:marRight w:val="0"/>
      <w:marTop w:val="0"/>
      <w:marBottom w:val="0"/>
      <w:divBdr>
        <w:top w:val="none" w:sz="0" w:space="0" w:color="auto"/>
        <w:left w:val="none" w:sz="0" w:space="0" w:color="auto"/>
        <w:bottom w:val="none" w:sz="0" w:space="0" w:color="auto"/>
        <w:right w:val="none" w:sz="0" w:space="0" w:color="auto"/>
      </w:divBdr>
    </w:div>
    <w:div w:id="184176303">
      <w:bodyDiv w:val="1"/>
      <w:marLeft w:val="0"/>
      <w:marRight w:val="0"/>
      <w:marTop w:val="0"/>
      <w:marBottom w:val="0"/>
      <w:divBdr>
        <w:top w:val="none" w:sz="0" w:space="0" w:color="auto"/>
        <w:left w:val="none" w:sz="0" w:space="0" w:color="auto"/>
        <w:bottom w:val="none" w:sz="0" w:space="0" w:color="auto"/>
        <w:right w:val="none" w:sz="0" w:space="0" w:color="auto"/>
      </w:divBdr>
    </w:div>
    <w:div w:id="239365978">
      <w:bodyDiv w:val="1"/>
      <w:marLeft w:val="0"/>
      <w:marRight w:val="0"/>
      <w:marTop w:val="0"/>
      <w:marBottom w:val="0"/>
      <w:divBdr>
        <w:top w:val="none" w:sz="0" w:space="0" w:color="auto"/>
        <w:left w:val="none" w:sz="0" w:space="0" w:color="auto"/>
        <w:bottom w:val="none" w:sz="0" w:space="0" w:color="auto"/>
        <w:right w:val="none" w:sz="0" w:space="0" w:color="auto"/>
      </w:divBdr>
    </w:div>
    <w:div w:id="376512362">
      <w:bodyDiv w:val="1"/>
      <w:marLeft w:val="0"/>
      <w:marRight w:val="0"/>
      <w:marTop w:val="0"/>
      <w:marBottom w:val="0"/>
      <w:divBdr>
        <w:top w:val="none" w:sz="0" w:space="0" w:color="auto"/>
        <w:left w:val="none" w:sz="0" w:space="0" w:color="auto"/>
        <w:bottom w:val="none" w:sz="0" w:space="0" w:color="auto"/>
        <w:right w:val="none" w:sz="0" w:space="0" w:color="auto"/>
      </w:divBdr>
    </w:div>
    <w:div w:id="410734776">
      <w:bodyDiv w:val="1"/>
      <w:marLeft w:val="0"/>
      <w:marRight w:val="0"/>
      <w:marTop w:val="0"/>
      <w:marBottom w:val="0"/>
      <w:divBdr>
        <w:top w:val="none" w:sz="0" w:space="0" w:color="auto"/>
        <w:left w:val="none" w:sz="0" w:space="0" w:color="auto"/>
        <w:bottom w:val="none" w:sz="0" w:space="0" w:color="auto"/>
        <w:right w:val="none" w:sz="0" w:space="0" w:color="auto"/>
      </w:divBdr>
    </w:div>
    <w:div w:id="458035098">
      <w:bodyDiv w:val="1"/>
      <w:marLeft w:val="0"/>
      <w:marRight w:val="0"/>
      <w:marTop w:val="0"/>
      <w:marBottom w:val="0"/>
      <w:divBdr>
        <w:top w:val="none" w:sz="0" w:space="0" w:color="auto"/>
        <w:left w:val="none" w:sz="0" w:space="0" w:color="auto"/>
        <w:bottom w:val="none" w:sz="0" w:space="0" w:color="auto"/>
        <w:right w:val="none" w:sz="0" w:space="0" w:color="auto"/>
      </w:divBdr>
    </w:div>
    <w:div w:id="624390557">
      <w:bodyDiv w:val="1"/>
      <w:marLeft w:val="0"/>
      <w:marRight w:val="0"/>
      <w:marTop w:val="0"/>
      <w:marBottom w:val="0"/>
      <w:divBdr>
        <w:top w:val="none" w:sz="0" w:space="0" w:color="auto"/>
        <w:left w:val="none" w:sz="0" w:space="0" w:color="auto"/>
        <w:bottom w:val="none" w:sz="0" w:space="0" w:color="auto"/>
        <w:right w:val="none" w:sz="0" w:space="0" w:color="auto"/>
      </w:divBdr>
    </w:div>
    <w:div w:id="703754105">
      <w:bodyDiv w:val="1"/>
      <w:marLeft w:val="0"/>
      <w:marRight w:val="0"/>
      <w:marTop w:val="0"/>
      <w:marBottom w:val="0"/>
      <w:divBdr>
        <w:top w:val="none" w:sz="0" w:space="0" w:color="auto"/>
        <w:left w:val="none" w:sz="0" w:space="0" w:color="auto"/>
        <w:bottom w:val="none" w:sz="0" w:space="0" w:color="auto"/>
        <w:right w:val="none" w:sz="0" w:space="0" w:color="auto"/>
      </w:divBdr>
    </w:div>
    <w:div w:id="741486680">
      <w:bodyDiv w:val="1"/>
      <w:marLeft w:val="0"/>
      <w:marRight w:val="0"/>
      <w:marTop w:val="0"/>
      <w:marBottom w:val="0"/>
      <w:divBdr>
        <w:top w:val="none" w:sz="0" w:space="0" w:color="auto"/>
        <w:left w:val="none" w:sz="0" w:space="0" w:color="auto"/>
        <w:bottom w:val="none" w:sz="0" w:space="0" w:color="auto"/>
        <w:right w:val="none" w:sz="0" w:space="0" w:color="auto"/>
      </w:divBdr>
    </w:div>
    <w:div w:id="830291330">
      <w:bodyDiv w:val="1"/>
      <w:marLeft w:val="0"/>
      <w:marRight w:val="0"/>
      <w:marTop w:val="0"/>
      <w:marBottom w:val="0"/>
      <w:divBdr>
        <w:top w:val="none" w:sz="0" w:space="0" w:color="auto"/>
        <w:left w:val="none" w:sz="0" w:space="0" w:color="auto"/>
        <w:bottom w:val="none" w:sz="0" w:space="0" w:color="auto"/>
        <w:right w:val="none" w:sz="0" w:space="0" w:color="auto"/>
      </w:divBdr>
    </w:div>
    <w:div w:id="952905825">
      <w:bodyDiv w:val="1"/>
      <w:marLeft w:val="0"/>
      <w:marRight w:val="0"/>
      <w:marTop w:val="0"/>
      <w:marBottom w:val="0"/>
      <w:divBdr>
        <w:top w:val="none" w:sz="0" w:space="0" w:color="auto"/>
        <w:left w:val="none" w:sz="0" w:space="0" w:color="auto"/>
        <w:bottom w:val="none" w:sz="0" w:space="0" w:color="auto"/>
        <w:right w:val="none" w:sz="0" w:space="0" w:color="auto"/>
      </w:divBdr>
    </w:div>
    <w:div w:id="1036155117">
      <w:bodyDiv w:val="1"/>
      <w:marLeft w:val="0"/>
      <w:marRight w:val="0"/>
      <w:marTop w:val="0"/>
      <w:marBottom w:val="0"/>
      <w:divBdr>
        <w:top w:val="none" w:sz="0" w:space="0" w:color="auto"/>
        <w:left w:val="none" w:sz="0" w:space="0" w:color="auto"/>
        <w:bottom w:val="none" w:sz="0" w:space="0" w:color="auto"/>
        <w:right w:val="none" w:sz="0" w:space="0" w:color="auto"/>
      </w:divBdr>
    </w:div>
    <w:div w:id="1133475867">
      <w:bodyDiv w:val="1"/>
      <w:marLeft w:val="0"/>
      <w:marRight w:val="0"/>
      <w:marTop w:val="0"/>
      <w:marBottom w:val="0"/>
      <w:divBdr>
        <w:top w:val="none" w:sz="0" w:space="0" w:color="auto"/>
        <w:left w:val="none" w:sz="0" w:space="0" w:color="auto"/>
        <w:bottom w:val="none" w:sz="0" w:space="0" w:color="auto"/>
        <w:right w:val="none" w:sz="0" w:space="0" w:color="auto"/>
      </w:divBdr>
    </w:div>
    <w:div w:id="1152523285">
      <w:bodyDiv w:val="1"/>
      <w:marLeft w:val="0"/>
      <w:marRight w:val="0"/>
      <w:marTop w:val="0"/>
      <w:marBottom w:val="0"/>
      <w:divBdr>
        <w:top w:val="none" w:sz="0" w:space="0" w:color="auto"/>
        <w:left w:val="none" w:sz="0" w:space="0" w:color="auto"/>
        <w:bottom w:val="none" w:sz="0" w:space="0" w:color="auto"/>
        <w:right w:val="none" w:sz="0" w:space="0" w:color="auto"/>
      </w:divBdr>
      <w:divsChild>
        <w:div w:id="1690175587">
          <w:marLeft w:val="0"/>
          <w:marRight w:val="0"/>
          <w:marTop w:val="0"/>
          <w:marBottom w:val="0"/>
          <w:divBdr>
            <w:top w:val="none" w:sz="0" w:space="0" w:color="auto"/>
            <w:left w:val="none" w:sz="0" w:space="0" w:color="auto"/>
            <w:bottom w:val="none" w:sz="0" w:space="0" w:color="auto"/>
            <w:right w:val="none" w:sz="0" w:space="0" w:color="auto"/>
          </w:divBdr>
        </w:div>
      </w:divsChild>
    </w:div>
    <w:div w:id="1379159364">
      <w:bodyDiv w:val="1"/>
      <w:marLeft w:val="0"/>
      <w:marRight w:val="0"/>
      <w:marTop w:val="0"/>
      <w:marBottom w:val="0"/>
      <w:divBdr>
        <w:top w:val="none" w:sz="0" w:space="0" w:color="auto"/>
        <w:left w:val="none" w:sz="0" w:space="0" w:color="auto"/>
        <w:bottom w:val="none" w:sz="0" w:space="0" w:color="auto"/>
        <w:right w:val="none" w:sz="0" w:space="0" w:color="auto"/>
      </w:divBdr>
    </w:div>
    <w:div w:id="1399789781">
      <w:bodyDiv w:val="1"/>
      <w:marLeft w:val="0"/>
      <w:marRight w:val="0"/>
      <w:marTop w:val="0"/>
      <w:marBottom w:val="0"/>
      <w:divBdr>
        <w:top w:val="none" w:sz="0" w:space="0" w:color="auto"/>
        <w:left w:val="none" w:sz="0" w:space="0" w:color="auto"/>
        <w:bottom w:val="none" w:sz="0" w:space="0" w:color="auto"/>
        <w:right w:val="none" w:sz="0" w:space="0" w:color="auto"/>
      </w:divBdr>
      <w:divsChild>
        <w:div w:id="526021871">
          <w:marLeft w:val="0"/>
          <w:marRight w:val="0"/>
          <w:marTop w:val="0"/>
          <w:marBottom w:val="0"/>
          <w:divBdr>
            <w:top w:val="none" w:sz="0" w:space="0" w:color="auto"/>
            <w:left w:val="none" w:sz="0" w:space="0" w:color="auto"/>
            <w:bottom w:val="none" w:sz="0" w:space="0" w:color="auto"/>
            <w:right w:val="none" w:sz="0" w:space="0" w:color="auto"/>
          </w:divBdr>
        </w:div>
        <w:div w:id="678627194">
          <w:marLeft w:val="0"/>
          <w:marRight w:val="0"/>
          <w:marTop w:val="0"/>
          <w:marBottom w:val="0"/>
          <w:divBdr>
            <w:top w:val="none" w:sz="0" w:space="0" w:color="auto"/>
            <w:left w:val="none" w:sz="0" w:space="0" w:color="auto"/>
            <w:bottom w:val="none" w:sz="0" w:space="0" w:color="auto"/>
            <w:right w:val="none" w:sz="0" w:space="0" w:color="auto"/>
          </w:divBdr>
        </w:div>
      </w:divsChild>
    </w:div>
    <w:div w:id="1425225647">
      <w:bodyDiv w:val="1"/>
      <w:marLeft w:val="0"/>
      <w:marRight w:val="0"/>
      <w:marTop w:val="0"/>
      <w:marBottom w:val="0"/>
      <w:divBdr>
        <w:top w:val="none" w:sz="0" w:space="0" w:color="auto"/>
        <w:left w:val="none" w:sz="0" w:space="0" w:color="auto"/>
        <w:bottom w:val="none" w:sz="0" w:space="0" w:color="auto"/>
        <w:right w:val="none" w:sz="0" w:space="0" w:color="auto"/>
      </w:divBdr>
    </w:div>
    <w:div w:id="1497333062">
      <w:bodyDiv w:val="1"/>
      <w:marLeft w:val="0"/>
      <w:marRight w:val="0"/>
      <w:marTop w:val="0"/>
      <w:marBottom w:val="0"/>
      <w:divBdr>
        <w:top w:val="none" w:sz="0" w:space="0" w:color="auto"/>
        <w:left w:val="none" w:sz="0" w:space="0" w:color="auto"/>
        <w:bottom w:val="none" w:sz="0" w:space="0" w:color="auto"/>
        <w:right w:val="none" w:sz="0" w:space="0" w:color="auto"/>
      </w:divBdr>
      <w:divsChild>
        <w:div w:id="191498169">
          <w:marLeft w:val="0"/>
          <w:marRight w:val="0"/>
          <w:marTop w:val="0"/>
          <w:marBottom w:val="0"/>
          <w:divBdr>
            <w:top w:val="none" w:sz="0" w:space="0" w:color="auto"/>
            <w:left w:val="none" w:sz="0" w:space="0" w:color="auto"/>
            <w:bottom w:val="none" w:sz="0" w:space="0" w:color="auto"/>
            <w:right w:val="none" w:sz="0" w:space="0" w:color="auto"/>
          </w:divBdr>
        </w:div>
      </w:divsChild>
    </w:div>
    <w:div w:id="1503549839">
      <w:bodyDiv w:val="1"/>
      <w:marLeft w:val="0"/>
      <w:marRight w:val="0"/>
      <w:marTop w:val="0"/>
      <w:marBottom w:val="0"/>
      <w:divBdr>
        <w:top w:val="none" w:sz="0" w:space="0" w:color="auto"/>
        <w:left w:val="none" w:sz="0" w:space="0" w:color="auto"/>
        <w:bottom w:val="none" w:sz="0" w:space="0" w:color="auto"/>
        <w:right w:val="none" w:sz="0" w:space="0" w:color="auto"/>
      </w:divBdr>
    </w:div>
    <w:div w:id="1578904049">
      <w:bodyDiv w:val="1"/>
      <w:marLeft w:val="0"/>
      <w:marRight w:val="0"/>
      <w:marTop w:val="0"/>
      <w:marBottom w:val="0"/>
      <w:divBdr>
        <w:top w:val="none" w:sz="0" w:space="0" w:color="auto"/>
        <w:left w:val="none" w:sz="0" w:space="0" w:color="auto"/>
        <w:bottom w:val="none" w:sz="0" w:space="0" w:color="auto"/>
        <w:right w:val="none" w:sz="0" w:space="0" w:color="auto"/>
      </w:divBdr>
    </w:div>
    <w:div w:id="1634557015">
      <w:bodyDiv w:val="1"/>
      <w:marLeft w:val="0"/>
      <w:marRight w:val="0"/>
      <w:marTop w:val="0"/>
      <w:marBottom w:val="0"/>
      <w:divBdr>
        <w:top w:val="none" w:sz="0" w:space="0" w:color="auto"/>
        <w:left w:val="none" w:sz="0" w:space="0" w:color="auto"/>
        <w:bottom w:val="none" w:sz="0" w:space="0" w:color="auto"/>
        <w:right w:val="none" w:sz="0" w:space="0" w:color="auto"/>
      </w:divBdr>
    </w:div>
    <w:div w:id="1660768721">
      <w:bodyDiv w:val="1"/>
      <w:marLeft w:val="0"/>
      <w:marRight w:val="0"/>
      <w:marTop w:val="0"/>
      <w:marBottom w:val="0"/>
      <w:divBdr>
        <w:top w:val="none" w:sz="0" w:space="0" w:color="auto"/>
        <w:left w:val="none" w:sz="0" w:space="0" w:color="auto"/>
        <w:bottom w:val="none" w:sz="0" w:space="0" w:color="auto"/>
        <w:right w:val="none" w:sz="0" w:space="0" w:color="auto"/>
      </w:divBdr>
    </w:div>
    <w:div w:id="1735229103">
      <w:bodyDiv w:val="1"/>
      <w:marLeft w:val="0"/>
      <w:marRight w:val="0"/>
      <w:marTop w:val="0"/>
      <w:marBottom w:val="0"/>
      <w:divBdr>
        <w:top w:val="none" w:sz="0" w:space="0" w:color="auto"/>
        <w:left w:val="none" w:sz="0" w:space="0" w:color="auto"/>
        <w:bottom w:val="none" w:sz="0" w:space="0" w:color="auto"/>
        <w:right w:val="none" w:sz="0" w:space="0" w:color="auto"/>
      </w:divBdr>
    </w:div>
    <w:div w:id="1835146963">
      <w:bodyDiv w:val="1"/>
      <w:marLeft w:val="0"/>
      <w:marRight w:val="0"/>
      <w:marTop w:val="0"/>
      <w:marBottom w:val="0"/>
      <w:divBdr>
        <w:top w:val="none" w:sz="0" w:space="0" w:color="auto"/>
        <w:left w:val="none" w:sz="0" w:space="0" w:color="auto"/>
        <w:bottom w:val="none" w:sz="0" w:space="0" w:color="auto"/>
        <w:right w:val="none" w:sz="0" w:space="0" w:color="auto"/>
      </w:divBdr>
    </w:div>
    <w:div w:id="1911959102">
      <w:bodyDiv w:val="1"/>
      <w:marLeft w:val="0"/>
      <w:marRight w:val="0"/>
      <w:marTop w:val="0"/>
      <w:marBottom w:val="0"/>
      <w:divBdr>
        <w:top w:val="none" w:sz="0" w:space="0" w:color="auto"/>
        <w:left w:val="none" w:sz="0" w:space="0" w:color="auto"/>
        <w:bottom w:val="none" w:sz="0" w:space="0" w:color="auto"/>
        <w:right w:val="none" w:sz="0" w:space="0" w:color="auto"/>
      </w:divBdr>
    </w:div>
    <w:div w:id="20986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4111</TotalTime>
  <Pages>10</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Philippa Hill</cp:lastModifiedBy>
  <cp:revision>71</cp:revision>
  <cp:lastPrinted>2022-05-11T14:59:00Z</cp:lastPrinted>
  <dcterms:created xsi:type="dcterms:W3CDTF">2022-05-11T11:13:00Z</dcterms:created>
  <dcterms:modified xsi:type="dcterms:W3CDTF">2022-09-14T12:29:00Z</dcterms:modified>
</cp:coreProperties>
</file>