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:rsidRPr="00BF2C92" w14:paraId="18F1DC13" w14:textId="77777777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14:paraId="784C0F3F" w14:textId="77777777" w:rsidR="001948A0" w:rsidRPr="00BF2C92" w:rsidRDefault="005A170E" w:rsidP="005A170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UNIVERSITY TEACHING AND LEARNING COMMITTEE</w:t>
            </w:r>
          </w:p>
        </w:tc>
      </w:tr>
      <w:tr w:rsidR="001948A0" w:rsidRPr="00BF2C92" w14:paraId="09E05BA3" w14:textId="77777777" w:rsidTr="001948A0">
        <w:trPr>
          <w:trHeight w:val="411"/>
        </w:trPr>
        <w:tc>
          <w:tcPr>
            <w:tcW w:w="9912" w:type="dxa"/>
            <w:vAlign w:val="center"/>
          </w:tcPr>
          <w:p w14:paraId="119485DE" w14:textId="2DE16C88" w:rsidR="001948A0" w:rsidRPr="00BF2C92" w:rsidRDefault="00F35DB7" w:rsidP="001948A0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18 March</w:t>
            </w:r>
            <w:r w:rsidR="00AD1BE0"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2020</w:t>
            </w:r>
            <w:r w:rsidR="005A170E"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, 9.30 am</w:t>
            </w:r>
          </w:p>
        </w:tc>
      </w:tr>
    </w:tbl>
    <w:p w14:paraId="7F28225A" w14:textId="77777777" w:rsidR="001948A0" w:rsidRPr="00BF2C92" w:rsidRDefault="001948A0" w:rsidP="0019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91A89F" w14:textId="77777777" w:rsidR="005564C7" w:rsidRPr="00BF2C92" w:rsidRDefault="005564C7" w:rsidP="005564C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5564C7" w:rsidRPr="00BF2C92" w14:paraId="3202E3B7" w14:textId="77777777" w:rsidTr="00D55715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14:paraId="46FEA4BE" w14:textId="77777777" w:rsidR="005564C7" w:rsidRPr="00BF2C92" w:rsidRDefault="005564C7" w:rsidP="00D5571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005564C7" w:rsidRPr="00BF2C92" w14:paraId="2E3A3D67" w14:textId="77777777" w:rsidTr="00D55715">
        <w:trPr>
          <w:trHeight w:val="411"/>
        </w:trPr>
        <w:tc>
          <w:tcPr>
            <w:tcW w:w="2689" w:type="dxa"/>
            <w:vAlign w:val="center"/>
          </w:tcPr>
          <w:p w14:paraId="33E6C364" w14:textId="77777777" w:rsidR="005564C7" w:rsidRPr="00BF2C92" w:rsidRDefault="005564C7" w:rsidP="00D55715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Venue:</w:t>
            </w:r>
          </w:p>
        </w:tc>
        <w:tc>
          <w:tcPr>
            <w:tcW w:w="7223" w:type="dxa"/>
            <w:vAlign w:val="center"/>
          </w:tcPr>
          <w:p w14:paraId="36E299FD" w14:textId="221F847C" w:rsidR="005564C7" w:rsidRPr="00BF2C92" w:rsidRDefault="000A6E7E" w:rsidP="00D55715">
            <w:pP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managed virtually</w:t>
            </w:r>
          </w:p>
        </w:tc>
      </w:tr>
      <w:tr w:rsidR="005564C7" w:rsidRPr="00BF2C92" w14:paraId="45189D57" w14:textId="77777777" w:rsidTr="00D55715">
        <w:trPr>
          <w:trHeight w:val="411"/>
        </w:trPr>
        <w:tc>
          <w:tcPr>
            <w:tcW w:w="2689" w:type="dxa"/>
            <w:vAlign w:val="center"/>
          </w:tcPr>
          <w:p w14:paraId="0B525EA1" w14:textId="77777777" w:rsidR="005564C7" w:rsidRPr="00BF2C92" w:rsidRDefault="005564C7" w:rsidP="00D55715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Author:</w:t>
            </w:r>
          </w:p>
        </w:tc>
        <w:tc>
          <w:tcPr>
            <w:tcW w:w="7223" w:type="dxa"/>
            <w:vAlign w:val="center"/>
          </w:tcPr>
          <w:p w14:paraId="72050187" w14:textId="63A030DA" w:rsidR="005564C7" w:rsidRPr="00BF2C92" w:rsidRDefault="005564C7" w:rsidP="00D55715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Karen Brough, Registry</w:t>
            </w:r>
          </w:p>
        </w:tc>
      </w:tr>
      <w:tr w:rsidR="005564C7" w:rsidRPr="00BF2C92" w14:paraId="25122483" w14:textId="77777777" w:rsidTr="00D55715">
        <w:trPr>
          <w:trHeight w:val="411"/>
        </w:trPr>
        <w:tc>
          <w:tcPr>
            <w:tcW w:w="2689" w:type="dxa"/>
            <w:vAlign w:val="center"/>
          </w:tcPr>
          <w:p w14:paraId="5C58F1D7" w14:textId="77777777" w:rsidR="005564C7" w:rsidRPr="00BF2C92" w:rsidRDefault="005564C7" w:rsidP="00D55715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Present:</w:t>
            </w: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ab/>
            </w:r>
          </w:p>
        </w:tc>
        <w:tc>
          <w:tcPr>
            <w:tcW w:w="7223" w:type="dxa"/>
            <w:vAlign w:val="center"/>
          </w:tcPr>
          <w:p w14:paraId="5B4299C6" w14:textId="45E6E33D" w:rsidR="005564C7" w:rsidRPr="00BF2C92" w:rsidRDefault="000A6E7E" w:rsidP="00D557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5564C7" w:rsidRPr="00BF2C92" w14:paraId="2D9163CF" w14:textId="77777777" w:rsidTr="00D55715">
        <w:trPr>
          <w:trHeight w:val="411"/>
        </w:trPr>
        <w:tc>
          <w:tcPr>
            <w:tcW w:w="2689" w:type="dxa"/>
            <w:vAlign w:val="center"/>
          </w:tcPr>
          <w:p w14:paraId="440F786D" w14:textId="77777777" w:rsidR="005564C7" w:rsidRPr="00BF2C92" w:rsidRDefault="005564C7" w:rsidP="00D55715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 attendance:</w:t>
            </w:r>
          </w:p>
        </w:tc>
        <w:tc>
          <w:tcPr>
            <w:tcW w:w="7223" w:type="dxa"/>
            <w:vAlign w:val="center"/>
          </w:tcPr>
          <w:p w14:paraId="208BC857" w14:textId="3E6BB45C" w:rsidR="005564C7" w:rsidRPr="00BF2C92" w:rsidRDefault="000A6E7E" w:rsidP="000A6E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5564C7" w:rsidRPr="00BF2C92" w14:paraId="653A4990" w14:textId="77777777" w:rsidTr="00D55715">
        <w:trPr>
          <w:trHeight w:val="411"/>
        </w:trPr>
        <w:tc>
          <w:tcPr>
            <w:tcW w:w="2689" w:type="dxa"/>
            <w:vAlign w:val="center"/>
          </w:tcPr>
          <w:p w14:paraId="3DAECA80" w14:textId="77777777" w:rsidR="005564C7" w:rsidRPr="00BF2C92" w:rsidRDefault="005564C7" w:rsidP="00D55715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Apologies:</w:t>
            </w:r>
          </w:p>
        </w:tc>
        <w:tc>
          <w:tcPr>
            <w:tcW w:w="7223" w:type="dxa"/>
            <w:vAlign w:val="center"/>
          </w:tcPr>
          <w:p w14:paraId="759B6338" w14:textId="44447539" w:rsidR="005564C7" w:rsidRPr="00BF2C92" w:rsidRDefault="000A6E7E" w:rsidP="00472D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17B7C3B0" w14:textId="745CE3CC" w:rsidR="001948A0" w:rsidRPr="00BF2C92" w:rsidRDefault="001948A0" w:rsidP="0019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60A28" w14:textId="77777777" w:rsidR="00224FAE" w:rsidRPr="00BF2C92" w:rsidRDefault="00224FAE" w:rsidP="001948A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985"/>
      </w:tblGrid>
      <w:tr w:rsidR="005564C7" w:rsidRPr="00BF2C92" w14:paraId="41102B60" w14:textId="77777777" w:rsidTr="0039568E">
        <w:tc>
          <w:tcPr>
            <w:tcW w:w="8080" w:type="dxa"/>
            <w:gridSpan w:val="2"/>
            <w:tcBorders>
              <w:bottom w:val="nil"/>
            </w:tcBorders>
            <w:shd w:val="clear" w:color="auto" w:fill="1F4E79" w:themeFill="accent1" w:themeFillShade="80"/>
          </w:tcPr>
          <w:p w14:paraId="7FDAEB02" w14:textId="77777777" w:rsidR="00054A0E" w:rsidRPr="00BF2C92" w:rsidRDefault="003F3B87" w:rsidP="00874C67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PRELIMINARY ITEMS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1F4E79" w:themeFill="accent1" w:themeFillShade="80"/>
          </w:tcPr>
          <w:p w14:paraId="0C76B526" w14:textId="28F78FDF" w:rsidR="00054A0E" w:rsidRPr="00BF2C92" w:rsidRDefault="005564C7" w:rsidP="00874C67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Actions</w:t>
            </w:r>
          </w:p>
        </w:tc>
      </w:tr>
      <w:tr w:rsidR="005564C7" w:rsidRPr="00BF2C92" w14:paraId="28632A65" w14:textId="77777777" w:rsidTr="0039568E">
        <w:tc>
          <w:tcPr>
            <w:tcW w:w="8080" w:type="dxa"/>
            <w:gridSpan w:val="2"/>
            <w:tcBorders>
              <w:bottom w:val="nil"/>
            </w:tcBorders>
            <w:shd w:val="clear" w:color="auto" w:fill="1F4E79" w:themeFill="accent1" w:themeFillShade="80"/>
          </w:tcPr>
          <w:p w14:paraId="24BD4BA8" w14:textId="28FF4896" w:rsidR="005564C7" w:rsidRPr="00BF2C92" w:rsidRDefault="005564C7" w:rsidP="00874C67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Apologies for absence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1F4E79" w:themeFill="accent1" w:themeFillShade="80"/>
          </w:tcPr>
          <w:p w14:paraId="0D0C353D" w14:textId="77777777" w:rsidR="005564C7" w:rsidRPr="00BF2C92" w:rsidRDefault="005564C7" w:rsidP="00874C67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564C7" w:rsidRPr="00BF2C92" w14:paraId="793781D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0388CC" w14:textId="77777777" w:rsidR="00054A0E" w:rsidRPr="00BF2C92" w:rsidRDefault="00054A0E" w:rsidP="00057E76">
            <w:pPr>
              <w:pStyle w:val="ListParagraph"/>
              <w:ind w:left="7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DA3BC92" w14:textId="77777777" w:rsidR="00E86365" w:rsidRPr="00BF2C92" w:rsidRDefault="00E86365" w:rsidP="00194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DECLARATIONS OF INTEREST</w:t>
            </w:r>
          </w:p>
          <w:p w14:paraId="1A6C4FC8" w14:textId="5D03DCB0" w:rsidR="00E86365" w:rsidRPr="00BF2C92" w:rsidRDefault="00E82F23" w:rsidP="001948A0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BC5500" w:rsidRPr="00BF2C92">
              <w:rPr>
                <w:rFonts w:ascii="Arial" w:hAnsi="Arial" w:cs="Arial"/>
                <w:sz w:val="24"/>
                <w:szCs w:val="24"/>
              </w:rPr>
              <w:t>confirmed there were no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conflicts of interest arising from the meeting agenda.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3D7828" w14:textId="77777777" w:rsidR="00054A0E" w:rsidRPr="00BF2C92" w:rsidRDefault="00054A0E" w:rsidP="00E8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500" w:rsidRPr="00BF2C92" w14:paraId="6A0B1B5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9B50AB" w14:textId="77777777" w:rsidR="00BC5500" w:rsidRPr="00BF2C92" w:rsidRDefault="00BC5500" w:rsidP="00057E76">
            <w:pPr>
              <w:pStyle w:val="ListParagraph"/>
              <w:ind w:left="7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E727AAC" w14:textId="77777777" w:rsidR="00BC5500" w:rsidRPr="00BF2C92" w:rsidRDefault="00BC5500" w:rsidP="001948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D90E6B" w14:textId="77777777" w:rsidR="00BC5500" w:rsidRPr="00BF2C92" w:rsidRDefault="00BC5500" w:rsidP="00E863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4C7" w:rsidRPr="00BF2C92" w14:paraId="0095C491" w14:textId="77777777" w:rsidTr="0039568E">
        <w:trPr>
          <w:trHeight w:val="2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7C800D" w14:textId="0611256C" w:rsidR="00F82317" w:rsidRPr="00BF2C92" w:rsidRDefault="004B373B" w:rsidP="004451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ED7B41F" w14:textId="5FA1F701" w:rsidR="00F82317" w:rsidRPr="00BF2C92" w:rsidRDefault="004B373B" w:rsidP="004B373B">
            <w:pPr>
              <w:keepLines/>
              <w:widowContro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901C2D" w14:textId="398B5E24" w:rsidR="00F82317" w:rsidRPr="00BF2C92" w:rsidRDefault="00F82317" w:rsidP="004819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73B" w:rsidRPr="00BF2C92" w14:paraId="6ED3998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B475B1" w14:textId="1C96E4F3" w:rsidR="004B373B" w:rsidRPr="00BF2C92" w:rsidRDefault="004B373B" w:rsidP="00445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A13AABF" w14:textId="1832948A" w:rsidR="004B373B" w:rsidRPr="00BF2C92" w:rsidRDefault="00F35DB7" w:rsidP="004B373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8A11A3" w14:textId="77777777" w:rsidR="004B373B" w:rsidRPr="00BF2C92" w:rsidRDefault="004B373B" w:rsidP="00481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3B" w:rsidRPr="00BF2C92" w14:paraId="17E143F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0F9464" w14:textId="77777777" w:rsidR="004B373B" w:rsidRPr="00BF2C92" w:rsidRDefault="004B373B" w:rsidP="00445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BC8DA7" w14:textId="63004FB4" w:rsidR="004B373B" w:rsidRPr="00BF2C92" w:rsidRDefault="004B373B" w:rsidP="000A6E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eastAsia="Times New Roman" w:hAnsi="Arial" w:cs="Arial"/>
                <w:sz w:val="24"/>
                <w:szCs w:val="24"/>
              </w:rPr>
              <w:t>The m</w:t>
            </w:r>
            <w:r w:rsidR="00F35DB7" w:rsidRPr="00BF2C92">
              <w:rPr>
                <w:rFonts w:ascii="Arial" w:eastAsia="Times New Roman" w:hAnsi="Arial" w:cs="Arial"/>
                <w:sz w:val="24"/>
                <w:szCs w:val="24"/>
              </w:rPr>
              <w:t>inutes of the meeting held on 29</w:t>
            </w:r>
            <w:r w:rsidRPr="00BF2C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5DB7" w:rsidRPr="00BF2C92">
              <w:rPr>
                <w:rFonts w:ascii="Arial" w:eastAsia="Times New Roman" w:hAnsi="Arial" w:cs="Arial"/>
                <w:sz w:val="24"/>
                <w:szCs w:val="24"/>
              </w:rPr>
              <w:t>January 2020</w:t>
            </w:r>
            <w:r w:rsidR="000A6E7E">
              <w:rPr>
                <w:rFonts w:ascii="Arial" w:eastAsia="Times New Roman" w:hAnsi="Arial" w:cs="Arial"/>
                <w:sz w:val="24"/>
                <w:szCs w:val="24"/>
              </w:rPr>
              <w:t xml:space="preserve"> were approved via Chair’s Action</w:t>
            </w:r>
            <w:r w:rsidRPr="00BF2C9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932AE4" w14:textId="77777777" w:rsidR="004B373B" w:rsidRPr="00BF2C92" w:rsidRDefault="004B373B" w:rsidP="00481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4C7" w:rsidRPr="00BF2C92" w14:paraId="2E81E7D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71E3F" w14:textId="77777777" w:rsidR="005564C7" w:rsidRPr="00BF2C92" w:rsidRDefault="005564C7" w:rsidP="00445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600384C" w14:textId="77777777" w:rsidR="005564C7" w:rsidRPr="00BF2C92" w:rsidRDefault="005564C7" w:rsidP="007D67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7C742E" w14:textId="77777777" w:rsidR="005564C7" w:rsidRPr="00BF2C92" w:rsidRDefault="005564C7" w:rsidP="004819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75EF122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A29677" w14:textId="44BEFE45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E6D2D0D" w14:textId="5EB670CB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MATTERS ARISING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663AEB" w14:textId="77777777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59D" w:rsidRPr="00BF2C92" w14:paraId="36E0646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D73A89" w14:textId="77777777" w:rsidR="00B3159D" w:rsidRPr="00BF2C92" w:rsidRDefault="00B3159D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5ED8ECF" w14:textId="2E7959C6" w:rsidR="00B3159D" w:rsidRPr="00BF2C92" w:rsidRDefault="00B3159D" w:rsidP="00B3159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8C6A8C" w14:textId="77777777" w:rsidR="00B3159D" w:rsidRPr="00BF2C92" w:rsidRDefault="00B3159D" w:rsidP="00023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41EA343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973DC6" w14:textId="03B6D0CA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AD71DA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Student Casework Summary (minute reference 2.1)</w:t>
            </w:r>
          </w:p>
          <w:p w14:paraId="26CAAB4E" w14:textId="3EDE9345" w:rsidR="000233B6" w:rsidRPr="00BF2C92" w:rsidRDefault="000A6E7E" w:rsidP="000233B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="000233B6"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1AA9A0" w14:textId="6A35FCF2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4E43311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E3158D" w14:textId="77777777" w:rsidR="000233B6" w:rsidRPr="00BF2C92" w:rsidRDefault="000233B6" w:rsidP="000233B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2BE92B2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0E93A6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3CB84F5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BE2DFC" w14:textId="1CDBB55E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1F711F6" w14:textId="588F8E80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Reports from Validation Panels (minute reference 2.6a)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78D60C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6BBCC3D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C9AE28" w14:textId="70ED4DCB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43844D" w14:textId="0232450B" w:rsidR="000233B6" w:rsidRPr="00BF2C92" w:rsidRDefault="000A6E7E" w:rsidP="000233B6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377628" w14:textId="313904FB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6DE7DB0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548EE9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7FB3E8A" w14:textId="77777777" w:rsidR="000233B6" w:rsidRPr="00BF2C92" w:rsidRDefault="000233B6" w:rsidP="000233B6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9AE8F5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7AA6152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580BCA" w14:textId="59E1373F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89B48B4" w14:textId="26332E20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School of Education and Professional Development held on 25 June 2019, 9.4 External Examiner System and School of Human and Health Sciences held on 2 October 2019, 28 External Examiner System (minute reference 2.6b)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40D7DD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28D8ECA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8620CE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A55C1F" w14:textId="497C0D32" w:rsidR="000233B6" w:rsidRPr="00BF2C92" w:rsidRDefault="000A6E7E" w:rsidP="00E750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EF1B41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CBF093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272F170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FC884F" w14:textId="5A0E8CFA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2EE910" w14:textId="46E4FEC4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AFCBED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1CCD087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92DF13" w14:textId="197675A9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184C7F3" w14:textId="59A44EED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Academic Integrity Module (minute reference 3.2)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F78C44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1C83186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CB5996" w14:textId="746C7E61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8E5402B" w14:textId="1D9D1303" w:rsidR="000233B6" w:rsidRPr="00BF2C92" w:rsidRDefault="000A6E7E" w:rsidP="000233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DB98D5" w14:textId="4A77ABE0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0AD6548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C9038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459BE5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7A7B3B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359EA03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74E368" w14:textId="4384231D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3637580" w14:textId="28717B2C" w:rsidR="000233B6" w:rsidRPr="00B3159D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159D">
              <w:rPr>
                <w:rFonts w:ascii="Arial" w:hAnsi="Arial" w:cs="Arial"/>
                <w:b/>
                <w:sz w:val="24"/>
                <w:szCs w:val="24"/>
              </w:rPr>
              <w:t>Teaching and Learning Conference (Minute reference 3.5)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9F76D5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03F29DA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8A83A6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BE95557" w14:textId="04014049" w:rsidR="000233B6" w:rsidRPr="00BF2C92" w:rsidRDefault="000A6E7E" w:rsidP="00B315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7BC2F3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746170A7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757231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1AA8038" w14:textId="3A50BA22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05A395" w14:textId="46018F34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159D" w:rsidRPr="00BF2C92" w14:paraId="6FFFFEB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4136D8" w14:textId="77777777" w:rsidR="00B3159D" w:rsidRPr="00BF2C92" w:rsidRDefault="00B3159D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E90F41D" w14:textId="449006A7" w:rsidR="00B3159D" w:rsidRPr="00BF2C92" w:rsidRDefault="00B3159D" w:rsidP="00B315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REGS_UTLC_2020_03_18_P2.6i</w:t>
            </w:r>
          </w:p>
          <w:p w14:paraId="2DE1C96C" w14:textId="39B9B8F8" w:rsidR="00B3159D" w:rsidRPr="00B3159D" w:rsidRDefault="00B3159D" w:rsidP="00B3159D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REGS_UTLC_2020_03_18_P2.6ii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F8FC9D" w14:textId="77777777" w:rsidR="00B3159D" w:rsidRPr="00BF2C92" w:rsidRDefault="00B3159D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1428C7F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953DC7" w14:textId="44DFAA76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36FB762" w14:textId="539B5246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Module Handbook Templates (minute reference 18.2)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DB1E5D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1B8E991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4C70E6" w14:textId="08B0265E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F940E81" w14:textId="1F653AB4" w:rsidR="000233B6" w:rsidRPr="00BF2C92" w:rsidRDefault="000A6E7E" w:rsidP="00E75090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FD5ABC" w14:textId="3E1B0B65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5263FE37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6A5191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C81F31" w14:textId="1DE93386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614369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12F" w:rsidRPr="00BF2C92" w14:paraId="67DED8F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A986BE" w14:textId="77777777" w:rsidR="00B1712F" w:rsidRPr="00BF2C92" w:rsidRDefault="00B1712F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A30C2D" w14:textId="1E18ACC9" w:rsidR="00B1712F" w:rsidRPr="004F4C9D" w:rsidRDefault="00B1712F" w:rsidP="00B1712F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REGS_UTLC_2020_03_18_P2.7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16FC6E" w14:textId="77777777" w:rsidR="00B1712F" w:rsidRPr="00BF2C92" w:rsidRDefault="00B1712F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31B26D8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4DDED" w14:textId="166A627D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12B89F" w14:textId="0A5121D7" w:rsidR="000233B6" w:rsidRPr="00BF2C92" w:rsidRDefault="000233B6" w:rsidP="000233B6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UTLC Short Life Working Group on Building Inclusivity into Course Design at Validation (Minute reference 18.6)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417856" w14:textId="30B9D4C1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62803B6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2BBBAA" w14:textId="44F8DBB2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C281DD5" w14:textId="45DB87F3" w:rsidR="000233B6" w:rsidRPr="007E2E78" w:rsidRDefault="007E2E78" w:rsidP="000A6E7E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The Committee</w:t>
            </w:r>
            <w:r w:rsidR="000A6E7E">
              <w:rPr>
                <w:rFonts w:ascii="Arial" w:hAnsi="Arial" w:cs="Arial"/>
                <w:b w:val="0"/>
              </w:rPr>
              <w:t xml:space="preserve"> approved the paper via virtual agreement.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0D7CFA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73154BB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734A7C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FD6B1D" w14:textId="4736EB00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2F8F3" w14:textId="20E249DA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33B6" w:rsidRPr="00BF2C92" w14:paraId="427D27E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24121E" w14:textId="2437E46C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CD7DD7E" w14:textId="0F42CDDE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Student Panels Proposed Developments (minute reference 19.1)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590763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4B21557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F55FCC" w14:textId="10E06DD5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468C969" w14:textId="5F0C6BBB" w:rsidR="000233B6" w:rsidRPr="00BF2C92" w:rsidRDefault="000A6E7E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0392BE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63AA13A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833866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176922" w14:textId="77777777" w:rsidR="000233B6" w:rsidRPr="00BF2C92" w:rsidRDefault="000233B6" w:rsidP="00023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293383" w14:textId="77777777" w:rsidR="000233B6" w:rsidRPr="00BF2C92" w:rsidRDefault="000233B6" w:rsidP="000233B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3B6" w:rsidRPr="00BF2C92" w14:paraId="57B3F305" w14:textId="77777777" w:rsidTr="005734DB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1FC4B080" w14:textId="77777777" w:rsidR="000233B6" w:rsidRPr="00BF2C92" w:rsidRDefault="000233B6" w:rsidP="00023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TO CONSIDER:</w:t>
            </w:r>
          </w:p>
        </w:tc>
      </w:tr>
      <w:tr w:rsidR="008D2204" w:rsidRPr="00BF2C92" w14:paraId="6F10366C" w14:textId="77777777" w:rsidTr="0039568E">
        <w:trPr>
          <w:trHeight w:val="4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B3EA1C" w14:textId="4204485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28DDE9" w14:textId="3958E57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CHAIR’S BUSINESS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D5EDCB" w14:textId="77777777" w:rsidR="008D2204" w:rsidRPr="00BF2C92" w:rsidRDefault="008D2204" w:rsidP="008D22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2AF1539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7EDC76" w14:textId="024432E2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7AC800" w14:textId="77777777" w:rsidR="008D2204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Differential Attainment update</w:t>
            </w:r>
          </w:p>
          <w:p w14:paraId="76DC65F1" w14:textId="4357740D" w:rsidR="000A6E7E" w:rsidRPr="00BF2C92" w:rsidRDefault="000A6E7E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3FCEE8" w14:textId="77777777" w:rsidR="008D2204" w:rsidRPr="00BF2C92" w:rsidRDefault="008D2204" w:rsidP="008D22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570ED2D8" w14:textId="77777777" w:rsidTr="0039568E">
        <w:trPr>
          <w:trHeight w:val="3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09748E" w14:textId="502ECF4A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7C95F33" w14:textId="2ED31EDA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560BC8" w14:textId="74536A48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7874A3A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73E2B0" w14:textId="3F214B3C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0321DCD" w14:textId="77777777" w:rsidR="008D2204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Industrial Action</w:t>
            </w:r>
          </w:p>
          <w:p w14:paraId="6DCC63CF" w14:textId="3DAE177E" w:rsidR="000A6E7E" w:rsidRPr="000A6E7E" w:rsidRDefault="000A6E7E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1DEF5D" w14:textId="6C82A4F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59D9F1D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3E6A8A" w14:textId="4ADD38BF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D89E555" w14:textId="23D6E682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2FC65F" w14:textId="0655CB04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4CAD212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97856" w14:textId="245A1E5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04B9B52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Office for Students Consultations</w:t>
            </w:r>
          </w:p>
          <w:p w14:paraId="5F9261D8" w14:textId="77777777" w:rsidR="008D2204" w:rsidRPr="00BF2C92" w:rsidRDefault="008D2204" w:rsidP="008D2204">
            <w:pPr>
              <w:pStyle w:val="ListParagraph"/>
              <w:numPr>
                <w:ilvl w:val="0"/>
                <w:numId w:val="15"/>
              </w:numPr>
              <w:ind w:left="601" w:hanging="241"/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Sexual Misconduct</w:t>
            </w:r>
          </w:p>
          <w:p w14:paraId="465AF643" w14:textId="77777777" w:rsidR="008D2204" w:rsidRDefault="008D2204" w:rsidP="008D2204">
            <w:pPr>
              <w:pStyle w:val="BodyTextIndent"/>
              <w:keepLines/>
              <w:widowControl w:val="0"/>
              <w:numPr>
                <w:ilvl w:val="0"/>
                <w:numId w:val="15"/>
              </w:numPr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Admissions</w:t>
            </w:r>
          </w:p>
          <w:p w14:paraId="486AE331" w14:textId="77777777" w:rsidR="000A6E7E" w:rsidRDefault="000A6E7E" w:rsidP="000A6E7E">
            <w:pPr>
              <w:pStyle w:val="BodyTextIndent"/>
              <w:keepLines/>
              <w:widowControl w:val="0"/>
              <w:jc w:val="left"/>
              <w:rPr>
                <w:rFonts w:ascii="Arial" w:hAnsi="Arial" w:cs="Arial"/>
                <w:b w:val="0"/>
              </w:rPr>
            </w:pPr>
          </w:p>
          <w:p w14:paraId="46CA5694" w14:textId="479AA9D7" w:rsidR="000A6E7E" w:rsidRPr="000A6E7E" w:rsidRDefault="000A6E7E" w:rsidP="000A6E7E">
            <w:pPr>
              <w:pStyle w:val="BodyTextIndent"/>
              <w:keepLines/>
              <w:widowControl w:val="0"/>
              <w:ind w:left="34" w:firstLine="0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6855B6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D49E47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CC06EA" w14:textId="2BF3C2C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8324309" w14:textId="41841353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4265D8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5D77942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4A0BFC" w14:textId="02E6387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8B4011D" w14:textId="77777777" w:rsidR="008D2204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ECs and Extensions Project</w:t>
            </w:r>
          </w:p>
          <w:p w14:paraId="0FBA75A7" w14:textId="3C9B9718" w:rsidR="000A6E7E" w:rsidRPr="000A6E7E" w:rsidRDefault="000A6E7E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40367F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6340221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1DE2B2" w14:textId="25BFE760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8EAFAD" w14:textId="4E1C0BD7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F65C50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7A2DFB8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4C0885" w14:textId="24FF1943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DEFBE64" w14:textId="6978F73B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 xml:space="preserve">GLOBAL PROFESSIONAL AWARD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67E7A2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615C850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54F444" w14:textId="11F266D6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52BA0D5" w14:textId="7BC699FC" w:rsidR="008D2204" w:rsidRPr="000A6E7E" w:rsidRDefault="000A6E7E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C5D3D6" w14:textId="0A39A10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228EBA3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98A9F3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3BCB7A7" w14:textId="77777777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DE5C7B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4A05" w:rsidRPr="00BF2C92" w14:paraId="4BE4B0C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A9DB4E" w14:textId="77777777" w:rsidR="007B4A05" w:rsidRPr="00BF2C92" w:rsidRDefault="007B4A05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54EF26F" w14:textId="418E5672" w:rsidR="009F656B" w:rsidRPr="009F656B" w:rsidRDefault="009F656B" w:rsidP="009F656B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B787E1" w14:textId="77777777" w:rsidR="007B4A05" w:rsidRPr="00BF2C92" w:rsidRDefault="007B4A05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09955EC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AF06BE" w14:textId="2B2A402E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4A270D4" w14:textId="334A8BC7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>ACADEMIC ADMIN TIMETABLE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CF4BA1" w14:textId="52B6EB21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6DBD" w:rsidRPr="00BF2C92" w14:paraId="16790E6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406757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972D7B" w14:textId="04F8247D" w:rsidR="00BE6DBD" w:rsidRDefault="00BE6DBD" w:rsidP="00BE6DBD">
            <w:pPr>
              <w:pStyle w:val="BodyTextIndent"/>
              <w:keepLines/>
              <w:widowControl w:val="0"/>
              <w:ind w:left="0" w:firstLine="0"/>
              <w:jc w:val="right"/>
              <w:rPr>
                <w:rStyle w:val="Hyperlink"/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REGS_UTLC_2020_03_18_P5</w:t>
            </w:r>
          </w:p>
          <w:p w14:paraId="1EB887E6" w14:textId="1558F003" w:rsidR="00BE6DBD" w:rsidRPr="00BF2C92" w:rsidRDefault="00BE6DBD" w:rsidP="00BE6D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REGS_UTLC_2020_03_18_P5.1i</w:t>
            </w:r>
          </w:p>
          <w:p w14:paraId="26C94215" w14:textId="5DE2723C" w:rsidR="00BE6DBD" w:rsidRPr="00BF2C92" w:rsidRDefault="00BE6DBD" w:rsidP="00BE6DBD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</w:rPr>
            </w:pPr>
            <w:r w:rsidRPr="000252FB">
              <w:rPr>
                <w:rFonts w:ascii="Arial" w:hAnsi="Arial" w:cs="Arial"/>
                <w:b w:val="0"/>
              </w:rPr>
              <w:t>REGS_UTLC_2020_03_18_P5.1ii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F8F26E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588D11E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634102" w14:textId="505D9EC0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5.1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AC19842" w14:textId="78BAA327" w:rsidR="008D2204" w:rsidRPr="000A6E7E" w:rsidRDefault="000A6E7E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FAEE18" w14:textId="664617F9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73C5BE6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366C62" w14:textId="427DF333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E8CBBD" w14:textId="74E7C49D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DCC6DD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292B050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8431B" w14:textId="7A6EBA1C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9322CB" w14:textId="04E6C6C7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>UTLC MEMBERSHIP LIST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AACA97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6DBD" w:rsidRPr="00BF2C92" w14:paraId="5DEF4AC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5E840E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FCF981" w14:textId="26101811" w:rsidR="00BE6DBD" w:rsidRPr="00BE6DBD" w:rsidRDefault="00BE6DBD" w:rsidP="00BE6DBD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REGS_UTLC_2020_03_18_P6.1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FCC3C5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5F4FBBD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8269CA" w14:textId="3A6FB89F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6.1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9215C0C" w14:textId="40EDCF15" w:rsidR="008D2204" w:rsidRPr="00A701E6" w:rsidRDefault="000A6E7E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D52740" w14:textId="4727C2C9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F130B0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7CBB96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2353E3D" w14:textId="77777777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A16E58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0C35D5C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02BA8" w14:textId="648246F9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DC7B66E" w14:textId="435BAC90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EXTERNAL EXAMINER APPLICATIONS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AE711B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DBD" w:rsidRPr="00BF2C92" w14:paraId="457AA49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48104E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8A66B09" w14:textId="60BAA3F3" w:rsidR="00BE6DBD" w:rsidRPr="00BF2C92" w:rsidRDefault="00BE6DBD" w:rsidP="00BE6DBD">
            <w:pPr>
              <w:keepLines/>
              <w:widowControl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REGS_UTLC_2020_03_18_P7.1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6504EC" w14:textId="77777777" w:rsidR="00BE6DBD" w:rsidRPr="00BF2C92" w:rsidRDefault="00BE6DBD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5767FC8D" w14:textId="77777777" w:rsidTr="00BE6DBD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268E16" w14:textId="76CAB841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7.1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25A43B" w14:textId="427BDF4C" w:rsidR="008D2204" w:rsidRPr="00BF2C92" w:rsidRDefault="000A6E7E" w:rsidP="005B7374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A6E7E"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1A34CA" w14:textId="6187C6B3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072B9029" w14:textId="77777777" w:rsidTr="0039568E">
        <w:trPr>
          <w:trHeight w:val="35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901159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2F68662" w14:textId="77777777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8E2B9A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0F2BD95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7AB105" w14:textId="460FD76E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8.1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FE98378" w14:textId="6BA50544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EQUALITY AND DIVERSITY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5DD11C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0ED8C48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0635D6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4C0A8F" w14:textId="2C8DBD8F" w:rsidR="008D2204" w:rsidRPr="007665F0" w:rsidRDefault="000A6E7E" w:rsidP="007665F0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A6E7E"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3E1C83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DBD" w:rsidRPr="00BF2C92" w14:paraId="5753AE7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99AD9A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8A5B46E" w14:textId="77777777" w:rsidR="00BE6DBD" w:rsidRPr="00BF2C92" w:rsidRDefault="00BE6DBD" w:rsidP="008D2204">
            <w:pPr>
              <w:keepLines/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079E60" w14:textId="77777777" w:rsidR="00BE6DBD" w:rsidRPr="00BF2C92" w:rsidRDefault="00BE6DBD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6574F78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B4C148" w14:textId="738BA63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67C006" w14:textId="6604DEE0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REPORT FROM THE STUDENTS’ UNION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3E69FE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01509F1B" w14:textId="77777777" w:rsidTr="0039568E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BE24FC" w14:textId="63E71EE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9.1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99D894C" w14:textId="0A4A3346" w:rsidR="008D2204" w:rsidRPr="00BF2C92" w:rsidRDefault="000A6E7E" w:rsidP="007665F0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A6E7E"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A919D3" w14:textId="07457F4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5F9B38D" w14:textId="77777777" w:rsidTr="0039568E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C785D0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86528A0" w14:textId="77777777" w:rsidR="008D2204" w:rsidRPr="00BF2C92" w:rsidRDefault="008D2204" w:rsidP="008D2204">
            <w:pPr>
              <w:keepLines/>
              <w:widowControl w:val="0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D42E1B" w14:textId="77777777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00C6FCB0" w14:textId="77777777" w:rsidTr="0039568E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A11973" w14:textId="6F05DEC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9.2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25A3303" w14:textId="186941D7" w:rsidR="008D2204" w:rsidRPr="00BF2C92" w:rsidRDefault="000A6E7E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A6E7E"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63B295" w14:textId="77777777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368B28F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A52225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1BD36F" w14:textId="6CCE829F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8B3C0A" w14:textId="221E2DF1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573630A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020CDD" w14:textId="497600C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EB46583" w14:textId="4F08A53D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SUBJECT REVIEWS FOR 2020-21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A7034B" w14:textId="77777777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6DBD" w:rsidRPr="00BF2C92" w14:paraId="253B2EF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B7FE02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9987EEC" w14:textId="271DD1FE" w:rsidR="00BE6DBD" w:rsidRPr="00BF2C92" w:rsidRDefault="00BE6DBD" w:rsidP="00BE6DBD">
            <w:pPr>
              <w:keepLines/>
              <w:widowControl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REGS_UTLC_2020_03_18_P10.1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4A08AA" w14:textId="77777777" w:rsidR="00BE6DBD" w:rsidRPr="00BF2C92" w:rsidRDefault="00BE6DBD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4C4D75F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808A93" w14:textId="19B7F1E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10.1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050CF8C" w14:textId="57B8F232" w:rsidR="008D2204" w:rsidRPr="00BF2C92" w:rsidRDefault="007665F0" w:rsidP="000A6E7E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D2204" w:rsidRPr="00BF2C92">
              <w:rPr>
                <w:rFonts w:ascii="Arial" w:hAnsi="Arial" w:cs="Arial"/>
                <w:sz w:val="24"/>
                <w:szCs w:val="24"/>
              </w:rPr>
              <w:t>proposed schedule of subject reviews for 2020-21</w:t>
            </w:r>
            <w:r w:rsidR="000A6E7E">
              <w:rPr>
                <w:rFonts w:ascii="Arial" w:hAnsi="Arial" w:cs="Arial"/>
                <w:sz w:val="24"/>
                <w:szCs w:val="24"/>
              </w:rPr>
              <w:t xml:space="preserve"> was approved via Chair’s Action</w:t>
            </w:r>
            <w:r w:rsidR="008D2204" w:rsidRPr="00BF2C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36CC6E" w14:textId="7DB0442E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405832D4" w14:textId="77777777" w:rsidTr="0039568E">
        <w:trPr>
          <w:trHeight w:val="24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3CD078" w14:textId="3526838A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86F210" w14:textId="03283D2B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FCCD2E" w14:textId="7ECEA79B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2D10741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BEF916" w14:textId="39BF493A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6694B1" w14:textId="7A690F29" w:rsidR="008D2204" w:rsidRPr="00BF2C92" w:rsidRDefault="008D2204" w:rsidP="008D2204">
            <w:pPr>
              <w:ind w:right="96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DEGREE OUTCOME STATEMENT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2F9A7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1C39A5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7AB827" w14:textId="2B77879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3F7849C" w14:textId="6C853AD2" w:rsidR="008D2204" w:rsidRPr="00BF2C92" w:rsidRDefault="000A6E7E" w:rsidP="008D2204">
            <w:pPr>
              <w:ind w:right="96"/>
              <w:rPr>
                <w:rFonts w:ascii="Arial" w:hAnsi="Arial" w:cs="Arial"/>
                <w:sz w:val="24"/>
                <w:szCs w:val="24"/>
              </w:rPr>
            </w:pPr>
            <w:r w:rsidRPr="000A6E7E">
              <w:rPr>
                <w:rFonts w:ascii="Arial" w:hAnsi="Arial" w:cs="Arial"/>
                <w:sz w:val="24"/>
                <w:szCs w:val="24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A749B6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2A9E9D8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49B309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F664605" w14:textId="3FA3395F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992148" w14:textId="7BF2ECCB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3C9549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D378BB" w14:textId="73DCC534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4CB5348" w14:textId="778657F8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COMMUTER STUDENT WORKING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46D796" w14:textId="271FD442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6DBD" w:rsidRPr="00BF2C92" w14:paraId="5A85EC6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E2A2E9" w14:textId="77777777" w:rsidR="00BE6DBD" w:rsidRPr="00BF2C92" w:rsidRDefault="00BE6DBD" w:rsidP="008D220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A1DCCDA" w14:textId="3258D859" w:rsidR="00BE6DBD" w:rsidRDefault="00BE6DBD" w:rsidP="00BE6DBD">
            <w:pPr>
              <w:keepLines/>
              <w:widowControl w:val="0"/>
              <w:jc w:val="right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REGS_UTLC_2020_03_18_P12</w:t>
            </w:r>
          </w:p>
          <w:p w14:paraId="11990702" w14:textId="04E4CD2B" w:rsidR="00BE6DBD" w:rsidRPr="00BF2C92" w:rsidRDefault="00BE6DBD" w:rsidP="00BE6D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REGS_UTLC_2020_03_18_P12.1ia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2FB">
              <w:rPr>
                <w:rFonts w:ascii="Arial" w:hAnsi="Arial" w:cs="Arial"/>
                <w:sz w:val="24"/>
                <w:szCs w:val="24"/>
              </w:rPr>
              <w:t>REGS_UTLC_2020_03_18_P12.1ib</w:t>
            </w:r>
            <w:r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2FB">
              <w:rPr>
                <w:rFonts w:ascii="Arial" w:hAnsi="Arial" w:cs="Arial"/>
                <w:sz w:val="24"/>
                <w:szCs w:val="24"/>
              </w:rPr>
              <w:t>REGS_UTLC_2020_03_18_P12.1ic</w:t>
            </w:r>
          </w:p>
          <w:p w14:paraId="259077F9" w14:textId="00865F7B" w:rsidR="00BE6DBD" w:rsidRPr="00BF2C92" w:rsidRDefault="00BE6DBD" w:rsidP="00BE6DBD">
            <w:pPr>
              <w:keepLines/>
              <w:widowControl w:val="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REGS_UTLC_2020_03_18_P12.1iii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574F32" w14:textId="77777777" w:rsidR="00BE6DBD" w:rsidRPr="00BF2C92" w:rsidRDefault="00BE6DBD" w:rsidP="008D2204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790B9E2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5C2544" w14:textId="5D17D3CE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4CE2AC3" w14:textId="77909C36" w:rsidR="008D2204" w:rsidRPr="00BF2C92" w:rsidRDefault="007665F0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The Committee</w:t>
            </w:r>
            <w:r w:rsidR="008D2204" w:rsidRPr="00BF2C92">
              <w:rPr>
                <w:rFonts w:ascii="Arial" w:hAnsi="Arial" w:cs="Arial"/>
                <w:b w:val="0"/>
              </w:rPr>
              <w:t xml:space="preserve"> receive</w:t>
            </w:r>
            <w:r>
              <w:rPr>
                <w:rFonts w:ascii="Arial" w:hAnsi="Arial" w:cs="Arial"/>
                <w:b w:val="0"/>
              </w:rPr>
              <w:t>d</w:t>
            </w:r>
            <w:r w:rsidR="008D2204" w:rsidRPr="00BF2C92">
              <w:rPr>
                <w:rFonts w:ascii="Arial" w:hAnsi="Arial" w:cs="Arial"/>
                <w:b w:val="0"/>
              </w:rPr>
              <w:t>:</w:t>
            </w:r>
          </w:p>
          <w:p w14:paraId="444B319D" w14:textId="77777777" w:rsidR="008D2204" w:rsidRPr="00BF2C92" w:rsidRDefault="008D2204" w:rsidP="008D2204">
            <w:pPr>
              <w:pStyle w:val="BodyTextIndent"/>
              <w:keepLines/>
              <w:widowControl w:val="0"/>
              <w:numPr>
                <w:ilvl w:val="0"/>
                <w:numId w:val="16"/>
              </w:numPr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the recent working group minutes</w:t>
            </w:r>
          </w:p>
          <w:p w14:paraId="7494E789" w14:textId="77777777" w:rsidR="007665F0" w:rsidRDefault="008D2204" w:rsidP="007665F0">
            <w:pPr>
              <w:pStyle w:val="BodyTextIndent"/>
              <w:keepLines/>
              <w:widowControl w:val="0"/>
              <w:numPr>
                <w:ilvl w:val="0"/>
                <w:numId w:val="16"/>
              </w:numPr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an update on the current approach from the School of Computing and Engineering</w:t>
            </w:r>
          </w:p>
          <w:p w14:paraId="68B50A6A" w14:textId="77777777" w:rsidR="008D2204" w:rsidRDefault="008D2204" w:rsidP="007665F0">
            <w:pPr>
              <w:pStyle w:val="BodyTextIndent"/>
              <w:keepLines/>
              <w:widowControl w:val="0"/>
              <w:numPr>
                <w:ilvl w:val="0"/>
                <w:numId w:val="16"/>
              </w:numPr>
              <w:jc w:val="left"/>
              <w:rPr>
                <w:rFonts w:ascii="Arial" w:hAnsi="Arial" w:cs="Arial"/>
                <w:b w:val="0"/>
              </w:rPr>
            </w:pPr>
            <w:r w:rsidRPr="007665F0">
              <w:rPr>
                <w:rFonts w:ascii="Arial" w:hAnsi="Arial" w:cs="Arial"/>
                <w:b w:val="0"/>
              </w:rPr>
              <w:t>The strategy presentation</w:t>
            </w:r>
          </w:p>
          <w:p w14:paraId="10B0C333" w14:textId="77777777" w:rsidR="000A6E7E" w:rsidRDefault="000A6E7E" w:rsidP="000A6E7E">
            <w:pPr>
              <w:pStyle w:val="BodyTextIndent"/>
              <w:keepLines/>
              <w:widowControl w:val="0"/>
              <w:jc w:val="left"/>
              <w:rPr>
                <w:rFonts w:ascii="Arial" w:hAnsi="Arial" w:cs="Arial"/>
                <w:b w:val="0"/>
              </w:rPr>
            </w:pPr>
          </w:p>
          <w:p w14:paraId="730E5BEB" w14:textId="53C6EC0C" w:rsidR="000A6E7E" w:rsidRPr="007665F0" w:rsidRDefault="000A6E7E" w:rsidP="000A6E7E">
            <w:pPr>
              <w:pStyle w:val="BodyTextIndent"/>
              <w:keepLines/>
              <w:widowControl w:val="0"/>
              <w:ind w:left="34" w:firstLine="0"/>
              <w:jc w:val="left"/>
              <w:rPr>
                <w:rFonts w:ascii="Arial" w:hAnsi="Arial" w:cs="Arial"/>
                <w:b w:val="0"/>
              </w:rPr>
            </w:pPr>
            <w:r w:rsidRPr="000A6E7E">
              <w:rPr>
                <w:rFonts w:ascii="Arial" w:hAnsi="Arial" w:cs="Arial"/>
                <w:b w:val="0"/>
              </w:rPr>
              <w:t xml:space="preserve">It was confirmed that this item be rolled over to the 20 May meeting of this Committee.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E94BBF" w14:textId="4A260A14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0A7794A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7E776E" w14:textId="284EDD50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CF890C3" w14:textId="3082A23C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D6689A" w14:textId="11C4F89F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5A1FBDB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8F2ADB" w14:textId="307544D3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76BD905" w14:textId="6CD40CAC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  <w:color w:val="000000" w:themeColor="text1"/>
              </w:rPr>
              <w:t>THEMATIC REVIEW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7156E8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6DBD" w:rsidRPr="00BF2C92" w14:paraId="352461D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15D1C5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1D3028" w14:textId="11123E97" w:rsidR="00BE6DBD" w:rsidRPr="00BE6DBD" w:rsidRDefault="00BE6DBD" w:rsidP="00BE6DBD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  <w:color w:val="000000" w:themeColor="text1"/>
              </w:rPr>
            </w:pPr>
            <w:r w:rsidRPr="000252FB">
              <w:rPr>
                <w:rFonts w:ascii="Arial" w:hAnsi="Arial" w:cs="Arial"/>
                <w:b w:val="0"/>
              </w:rPr>
              <w:t>REGS_UTLC_2020_03_18_P13.1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CD5435" w14:textId="77777777" w:rsidR="00BE6DBD" w:rsidRPr="00BF2C92" w:rsidRDefault="00BE6DBD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4A7EAA7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D02403" w14:textId="1DF70684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F02765C" w14:textId="67B526C9" w:rsidR="008D2204" w:rsidRPr="00BF2C92" w:rsidRDefault="007665F0" w:rsidP="000A6E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Committee</w:t>
            </w:r>
            <w:r w:rsidR="008D2204" w:rsidRPr="00BF2C9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receive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8D2204" w:rsidRPr="00BF2C9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r w:rsidR="000A6E7E">
              <w:rPr>
                <w:rFonts w:ascii="Arial" w:hAnsi="Arial" w:cs="Arial"/>
                <w:color w:val="000000" w:themeColor="text1"/>
                <w:sz w:val="24"/>
                <w:szCs w:val="24"/>
              </w:rPr>
              <w:t>approved</w:t>
            </w:r>
            <w:r w:rsidR="008D2204" w:rsidRPr="00BF2C9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2019-20 Thematic Review into Equality of Attainment</w:t>
            </w:r>
            <w:r w:rsidR="000A6E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subject to minor amendments via virtual means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837726" w14:textId="447CE23F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2FF46DA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0941E0" w14:textId="748CFD35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2310A89" w14:textId="7B1C6DD8" w:rsidR="008D2204" w:rsidRPr="00BF2C92" w:rsidRDefault="008D2204" w:rsidP="008D220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E6E13A6" w14:textId="0CAEE47E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1F62C21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BD5771" w14:textId="2C80745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19ED80F" w14:textId="56FBFAC8" w:rsidR="008D2204" w:rsidRPr="00BF2C92" w:rsidRDefault="008D2204" w:rsidP="008D2204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>MODULE EVALUATION 360 PROJECT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D38A06" w14:textId="4C82B8DD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5F0" w:rsidRPr="00BF2C92" w14:paraId="6AD46BF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B3C0B" w14:textId="77777777" w:rsidR="007665F0" w:rsidRPr="00BF2C92" w:rsidRDefault="007665F0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2AB4FE3" w14:textId="58D88585" w:rsidR="007665F0" w:rsidRPr="00BF2C92" w:rsidRDefault="007665F0" w:rsidP="007665F0">
            <w:pPr>
              <w:keepLines/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REGS_UTLC_2020_03_18_P14.1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245B6F" w14:textId="77777777" w:rsidR="007665F0" w:rsidRPr="00BF2C92" w:rsidRDefault="007665F0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1E6B647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1F4428" w14:textId="2EC7A7DC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686AE89" w14:textId="6DF5BECA" w:rsidR="008D2204" w:rsidRPr="00BF2C92" w:rsidRDefault="00540647" w:rsidP="009D6212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</w:t>
            </w:r>
            <w:r w:rsidR="008D2204"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212">
              <w:rPr>
                <w:rFonts w:ascii="Arial" w:hAnsi="Arial" w:cs="Arial"/>
                <w:sz w:val="24"/>
                <w:szCs w:val="24"/>
              </w:rPr>
              <w:t>approved</w:t>
            </w:r>
            <w:r w:rsidR="008D2204" w:rsidRPr="00BF2C92">
              <w:rPr>
                <w:rFonts w:ascii="Arial" w:hAnsi="Arial" w:cs="Arial"/>
                <w:sz w:val="24"/>
                <w:szCs w:val="24"/>
              </w:rPr>
              <w:t xml:space="preserve"> the attached paper</w:t>
            </w:r>
            <w:r w:rsidR="009D6212">
              <w:rPr>
                <w:rFonts w:ascii="Arial" w:hAnsi="Arial" w:cs="Arial"/>
                <w:sz w:val="24"/>
                <w:szCs w:val="24"/>
              </w:rPr>
              <w:t xml:space="preserve"> through virtual agreement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E2AF4A" w14:textId="24BB0244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6FB545A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0475D5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8294444" w14:textId="66038847" w:rsidR="008D2204" w:rsidRPr="00BF2C92" w:rsidRDefault="008D2204" w:rsidP="008D2204">
            <w:pPr>
              <w:keepLines/>
              <w:widowControl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2CE760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06E93B2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6F2610" w14:textId="1B946796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613F6F3" w14:textId="4261FACE" w:rsidR="008D2204" w:rsidRPr="00BF2C92" w:rsidRDefault="008D2204" w:rsidP="008D2204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REVIEW OF VLE STRATEGY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F59887" w14:textId="02D60B0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0647" w:rsidRPr="00BF2C92" w14:paraId="6EF9DDF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319105" w14:textId="77777777" w:rsidR="00540647" w:rsidRPr="00BF2C92" w:rsidRDefault="00540647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4952E88" w14:textId="2DF361A4" w:rsidR="00540647" w:rsidRPr="00BF2C92" w:rsidRDefault="00540647" w:rsidP="00540647">
            <w:pPr>
              <w:keepLines/>
              <w:widowControl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REGS_UTLC_2020_03_18_P15.1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26D658" w14:textId="77777777" w:rsidR="00540647" w:rsidRPr="00BF2C92" w:rsidRDefault="00540647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2204" w:rsidRPr="00BF2C92" w14:paraId="69D4A1C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25286E" w14:textId="43DF947E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15.1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68CB6C3" w14:textId="5C011CF0" w:rsidR="008D2204" w:rsidRPr="00BF2C92" w:rsidRDefault="00540647" w:rsidP="009D6212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</w:t>
            </w:r>
            <w:r w:rsidR="008D2204" w:rsidRPr="00BF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6212">
              <w:rPr>
                <w:rFonts w:ascii="Arial" w:hAnsi="Arial" w:cs="Arial"/>
                <w:sz w:val="24"/>
                <w:szCs w:val="24"/>
              </w:rPr>
              <w:t xml:space="preserve">approved the strategy without comment through virtual approval.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4C3687" w14:textId="33BD8399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52AF2E3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084B88" w14:textId="6686238A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A468B7A" w14:textId="430E5659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61B6D1" w14:textId="77777777" w:rsidR="008D2204" w:rsidRPr="00BF2C92" w:rsidRDefault="008D2204" w:rsidP="008D2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204" w:rsidRPr="00BF2C92" w14:paraId="42B6715D" w14:textId="77777777" w:rsidTr="005734DB">
        <w:trPr>
          <w:trHeight w:val="358"/>
        </w:trPr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44D53747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TO NOTE:</w:t>
            </w:r>
          </w:p>
        </w:tc>
      </w:tr>
      <w:tr w:rsidR="008D2204" w:rsidRPr="00BF2C92" w14:paraId="3AB0BE6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05507A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ED584D" w14:textId="77777777" w:rsidR="008D2204" w:rsidRPr="00BF2C92" w:rsidRDefault="008D2204" w:rsidP="008D22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613EBD" w14:textId="77777777" w:rsidR="008D2204" w:rsidRPr="00BF2C92" w:rsidRDefault="008D2204" w:rsidP="008D22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6E5ED4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85B5C3" w14:textId="6835A3E0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9AB7BC" w14:textId="6C9A6C59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STANDING COMMITTEE FOR DEGREE APPRENTICESHIP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875C20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61092C6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34794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EADF18D" w14:textId="246A2125" w:rsidR="0084585A" w:rsidRPr="0084585A" w:rsidRDefault="0084585A" w:rsidP="0084585A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REGS_UTLC_2020_03_18_P16.1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2188091" w14:textId="77777777" w:rsidR="0084585A" w:rsidRPr="00BF2C92" w:rsidRDefault="0084585A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34191AA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CC725E" w14:textId="7B3B953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16.1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74C551E" w14:textId="0FEC5C7C" w:rsidR="0017417C" w:rsidRPr="00D56E4C" w:rsidRDefault="0084585A" w:rsidP="009D6212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The</w:t>
            </w:r>
            <w:r w:rsidR="0017417C" w:rsidRPr="00D56E4C">
              <w:rPr>
                <w:rFonts w:ascii="Arial" w:hAnsi="Arial" w:cs="Arial"/>
                <w:b w:val="0"/>
              </w:rPr>
              <w:t xml:space="preserve"> minutes from the meeting on 13 February 2020</w:t>
            </w:r>
            <w:r w:rsidR="009D6212">
              <w:rPr>
                <w:rFonts w:ascii="Arial" w:hAnsi="Arial" w:cs="Arial"/>
                <w:b w:val="0"/>
              </w:rPr>
              <w:t xml:space="preserve"> were noted through Chair’s Action.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66A38FE" w14:textId="4E97D4FD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A9CCD4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AFB3E4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E951FFA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F86DE5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627F61A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4E9BCB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BBBB7A" w14:textId="38F45E2E" w:rsidR="0084585A" w:rsidRPr="0084585A" w:rsidRDefault="0084585A" w:rsidP="0084585A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REGS_UTLC_2020_03_18_P16.2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13ED32" w14:textId="77777777" w:rsidR="0084585A" w:rsidRPr="00BF2C92" w:rsidRDefault="0084585A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4801AD5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46899D" w14:textId="4D8BCA0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16.2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3AE4F0" w14:textId="2809E8EC" w:rsidR="0017417C" w:rsidRPr="00BF2C92" w:rsidRDefault="009D6212" w:rsidP="00174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noted via Chair’s Action that</w:t>
            </w:r>
            <w:r w:rsidR="0017417C" w:rsidRPr="00BF2C92">
              <w:rPr>
                <w:rFonts w:ascii="Arial" w:hAnsi="Arial" w:cs="Arial"/>
                <w:sz w:val="24"/>
                <w:szCs w:val="24"/>
              </w:rPr>
              <w:t xml:space="preserve"> the Higher and Degree Apprenticeship Risk Register which outlines the risks to the University posed by apprenticeship provision as well as methods of mitigating these.</w:t>
            </w:r>
          </w:p>
          <w:p w14:paraId="716DBAAE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A0EDF" w14:textId="199F89D8" w:rsidR="0017417C" w:rsidRPr="00D56E4C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D56E4C">
              <w:rPr>
                <w:rFonts w:ascii="Arial" w:hAnsi="Arial" w:cs="Arial"/>
                <w:b w:val="0"/>
              </w:rPr>
              <w:t>This will be updated as necessary and amendments will be received at future Standing Committee for Degree Apprenticeships meetings.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B95BC1" w14:textId="0F395CB5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1D7A745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CB2C31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6B2181" w14:textId="482D5735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F11333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1284578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3D4135" w14:textId="0E7765F2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BE5EEF" w14:textId="1F4E99F0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REPORTS FROM PSRBs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46A066" w14:textId="10DB4F11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5C8575B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57C36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40B69DB" w14:textId="1FEBA7BF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REGS_UTLC_2020_03_18_P17.1A</w:t>
            </w:r>
          </w:p>
          <w:p w14:paraId="354AF8A9" w14:textId="404046DA" w:rsidR="0084585A" w:rsidRPr="0084585A" w:rsidRDefault="0084585A" w:rsidP="0084585A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REGS_UTLC_2020_03_18_P17.1B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324B75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C2B267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6044E1" w14:textId="257459A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17.1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A0A18D" w14:textId="7C0E3DE7" w:rsidR="0017417C" w:rsidRPr="00BF2C92" w:rsidRDefault="0084585A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The C</w:t>
            </w:r>
            <w:r w:rsidR="009D6212">
              <w:rPr>
                <w:rFonts w:ascii="Arial" w:hAnsi="Arial" w:cs="Arial"/>
                <w:b w:val="0"/>
              </w:rPr>
              <w:t xml:space="preserve">hair </w:t>
            </w:r>
            <w:r w:rsidR="0017417C" w:rsidRPr="00BF2C92">
              <w:rPr>
                <w:rFonts w:ascii="Arial" w:hAnsi="Arial" w:cs="Arial"/>
                <w:b w:val="0"/>
              </w:rPr>
              <w:t>receive</w:t>
            </w:r>
            <w:r>
              <w:rPr>
                <w:rFonts w:ascii="Arial" w:hAnsi="Arial" w:cs="Arial"/>
                <w:b w:val="0"/>
              </w:rPr>
              <w:t>d</w:t>
            </w:r>
            <w:r w:rsidR="0017417C" w:rsidRPr="00BF2C92">
              <w:rPr>
                <w:rFonts w:ascii="Arial" w:hAnsi="Arial" w:cs="Arial"/>
                <w:b w:val="0"/>
              </w:rPr>
              <w:t xml:space="preserve"> and note</w:t>
            </w:r>
            <w:r>
              <w:rPr>
                <w:rFonts w:ascii="Arial" w:hAnsi="Arial" w:cs="Arial"/>
                <w:b w:val="0"/>
              </w:rPr>
              <w:t>d</w:t>
            </w:r>
            <w:r w:rsidR="0017417C" w:rsidRPr="00BF2C92">
              <w:rPr>
                <w:rFonts w:ascii="Arial" w:hAnsi="Arial" w:cs="Arial"/>
                <w:b w:val="0"/>
              </w:rPr>
              <w:t xml:space="preserve"> the following certificates of accreditation</w:t>
            </w:r>
            <w:r w:rsidR="009D6212">
              <w:rPr>
                <w:rFonts w:ascii="Arial" w:hAnsi="Arial" w:cs="Arial"/>
                <w:b w:val="0"/>
              </w:rPr>
              <w:t xml:space="preserve"> through Chair’s Action</w:t>
            </w:r>
            <w:r w:rsidR="0017417C" w:rsidRPr="00BF2C92">
              <w:rPr>
                <w:rFonts w:ascii="Arial" w:hAnsi="Arial" w:cs="Arial"/>
                <w:b w:val="0"/>
              </w:rPr>
              <w:t xml:space="preserve">: </w:t>
            </w:r>
          </w:p>
          <w:p w14:paraId="5C629369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CILT(UK):</w:t>
            </w:r>
          </w:p>
          <w:p w14:paraId="4CBE0048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MSc Sustainable Supply Chain Management  (2019-2024)</w:t>
            </w:r>
          </w:p>
          <w:p w14:paraId="053F3E77" w14:textId="301D9B88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  <w:b w:val="0"/>
              </w:rPr>
              <w:t>MSc Sustainable Supply Chain Management with Humanitarian Challenges  (2019-2024)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4BFCB9" w14:textId="3D1CA65B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56DEE6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1D994C" w14:textId="195E40AC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0BE99D5" w14:textId="4FE3BA2F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206921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1924DFA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770BB0" w14:textId="6E6A83A6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F0855C5" w14:textId="268EFE04" w:rsidR="0017417C" w:rsidRPr="0084585A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85A">
              <w:rPr>
                <w:rFonts w:ascii="Arial" w:hAnsi="Arial" w:cs="Arial"/>
                <w:b/>
                <w:sz w:val="24"/>
                <w:szCs w:val="24"/>
              </w:rPr>
              <w:t>REPORTS FROM SCCP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CF6A10" w14:textId="77777777" w:rsidR="0017417C" w:rsidRPr="0084585A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585A" w:rsidRPr="00BF2C92" w14:paraId="7C6AED5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D4F07F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81B3771" w14:textId="5C2FB54D" w:rsidR="0084585A" w:rsidRPr="0084585A" w:rsidRDefault="0084585A" w:rsidP="008458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REGS_UTLC_2020_03_18_P18.1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2AB4E8" w14:textId="77777777" w:rsidR="0084585A" w:rsidRPr="0084585A" w:rsidRDefault="0084585A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33D4049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BB14E0" w14:textId="44268E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18.1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1C978A" w14:textId="7523FF99" w:rsidR="0017417C" w:rsidRPr="00BF2C92" w:rsidRDefault="0084585A" w:rsidP="009D6212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The </w:t>
            </w:r>
            <w:r w:rsidR="0017417C" w:rsidRPr="00BF2C92">
              <w:rPr>
                <w:rFonts w:ascii="Arial" w:hAnsi="Arial" w:cs="Arial"/>
                <w:b w:val="0"/>
              </w:rPr>
              <w:t>minutes from 11 December 2019</w:t>
            </w:r>
            <w:r w:rsidR="009D6212">
              <w:rPr>
                <w:rFonts w:ascii="Arial" w:hAnsi="Arial" w:cs="Arial"/>
                <w:b w:val="0"/>
              </w:rPr>
              <w:t xml:space="preserve"> were noted through Chair’s Action</w:t>
            </w:r>
            <w:r w:rsidR="0017417C" w:rsidRPr="00BF2C92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EE4B85" w14:textId="1214EA4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426505D1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EDA1A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E32152D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63313E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157F7270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9D0B27" w14:textId="043EDD80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C1A40B" w14:textId="50B1E183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STLC MINUTES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BF21C5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61446EB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F15E75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C1A470" w14:textId="582B7223" w:rsidR="0084585A" w:rsidRPr="0084585A" w:rsidRDefault="0084585A" w:rsidP="00F05C70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</w:t>
            </w:r>
            <w:r w:rsidRPr="00BF2C92">
              <w:rPr>
                <w:rFonts w:ascii="Arial" w:hAnsi="Arial" w:cs="Arial"/>
                <w:b w:val="0"/>
              </w:rPr>
              <w:t>following</w:t>
            </w:r>
            <w:r>
              <w:rPr>
                <w:rFonts w:ascii="Arial" w:hAnsi="Arial" w:cs="Arial"/>
                <w:b w:val="0"/>
              </w:rPr>
              <w:t xml:space="preserve"> STLC minutes</w:t>
            </w:r>
            <w:r w:rsidR="00F05C70">
              <w:rPr>
                <w:rFonts w:ascii="Arial" w:hAnsi="Arial" w:cs="Arial"/>
                <w:b w:val="0"/>
              </w:rPr>
              <w:t xml:space="preserve"> were noted via Chair’s Action</w:t>
            </w:r>
            <w:r w:rsidRPr="00BF2C92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CE594C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0F1CFA4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DA1A78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361070" w14:textId="3B4DDD81" w:rsidR="0084585A" w:rsidRPr="0084585A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REGS_UTLC_2020_03_18_P19.1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215DED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933EE1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55ED6E" w14:textId="77B0ABE0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19.1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E01D381" w14:textId="21CB703C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Art, Design and Architecture STLC</w:t>
            </w:r>
          </w:p>
          <w:p w14:paraId="571BFE03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Minutes from 30 January 2020</w:t>
            </w:r>
          </w:p>
          <w:p w14:paraId="67ECA68F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</w:rPr>
            </w:pPr>
          </w:p>
          <w:p w14:paraId="7CBEA43F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>Minute Reference 14.1 PSRB’s</w:t>
            </w:r>
            <w:r w:rsidRPr="00BF2C92">
              <w:rPr>
                <w:rFonts w:ascii="Arial" w:hAnsi="Arial" w:cs="Arial"/>
                <w:b w:val="0"/>
              </w:rPr>
              <w:t xml:space="preserve"> – </w:t>
            </w:r>
          </w:p>
          <w:p w14:paraId="38AFFF18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The following courses were noted.</w:t>
            </w:r>
          </w:p>
          <w:p w14:paraId="52DA1F73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CIOB (Chartered Institute of Building)</w:t>
            </w:r>
          </w:p>
          <w:p w14:paraId="14F54F8E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BSc (Hons) Building Surveying</w:t>
            </w:r>
          </w:p>
          <w:p w14:paraId="21F9A6B9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lastRenderedPageBreak/>
              <w:t>BSc (Hons) Construction Project Management</w:t>
            </w:r>
          </w:p>
          <w:p w14:paraId="017DBA2A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BSc (Hons) Quantity Surveying</w:t>
            </w:r>
          </w:p>
          <w:p w14:paraId="4F5B7E27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Accredited to 31st December 2022</w:t>
            </w:r>
          </w:p>
          <w:p w14:paraId="04036E0C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</w:p>
          <w:p w14:paraId="12A17311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CIOB</w:t>
            </w:r>
          </w:p>
          <w:p w14:paraId="56C80933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MSc Advanced Project Management in Construction</w:t>
            </w:r>
          </w:p>
          <w:p w14:paraId="5315C1F1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MSc Design Integration and Building Information Modelling</w:t>
            </w:r>
          </w:p>
          <w:p w14:paraId="04BE2148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Accredited to July 2016 – July 2021</w:t>
            </w:r>
          </w:p>
          <w:p w14:paraId="0D0F7BC2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</w:p>
          <w:p w14:paraId="260B8896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CABE (Chartered Association of Building Engineers)</w:t>
            </w:r>
          </w:p>
          <w:p w14:paraId="2383A46E" w14:textId="77777777" w:rsidR="0017417C" w:rsidRPr="00BF2C92" w:rsidRDefault="0017417C" w:rsidP="0017417C">
            <w:pPr>
              <w:pStyle w:val="BodyTextIndent"/>
              <w:keepLines/>
              <w:widowControl w:val="0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BSc Architectural Technology</w:t>
            </w:r>
          </w:p>
          <w:p w14:paraId="5C827E62" w14:textId="0C47E3CF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Accredited 23/01/2020 – 31/08/2022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FB397E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CD96095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BF85C8A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2030B46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9D460E9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969460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2C6F686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EC4FBE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5BBF66D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6E99B99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B031AEA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12C7726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1E3B51C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A7D7E0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D118B02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537653F" w14:textId="7DFF8C59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50B221A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6D3CFA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5C92DBF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ECB394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01420B6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476A6D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2CACE83" w14:textId="2C14C4C5" w:rsidR="0084585A" w:rsidRPr="0084585A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REGS_UTLC_2020_03_18_P19.2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61352E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6208481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14121" w14:textId="5EC8DFA6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19.2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1853F0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Human and Health Sciences STLC</w:t>
            </w:r>
          </w:p>
          <w:p w14:paraId="7CEC83CC" w14:textId="5358DD80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  <w:b w:val="0"/>
              </w:rPr>
              <w:t>Minutes from 12 February 2020, no issues for UTLC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893022" w14:textId="77777777" w:rsidR="0017417C" w:rsidRPr="00BF2C92" w:rsidRDefault="0017417C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71424B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8A7EB0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52B058C" w14:textId="28A70814" w:rsidR="0017417C" w:rsidRPr="00BF2C92" w:rsidRDefault="0017417C" w:rsidP="0017417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809D01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13066C8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B6D58C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2B322D" w14:textId="701E5424" w:rsidR="0084585A" w:rsidRPr="0084585A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REGS_UTLC_2020_03_18_P19.3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30CBC7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7CAC4B2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C3707A" w14:textId="79B7CCC9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19.3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5FA3A40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Huddersfield Business School STLC</w:t>
            </w:r>
          </w:p>
          <w:p w14:paraId="4EBEE065" w14:textId="7B999033" w:rsidR="0017417C" w:rsidRPr="00BF2C92" w:rsidRDefault="0017417C" w:rsidP="0017417C">
            <w:pPr>
              <w:keepLines/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Minutes from 12 February 2020, no issues for UTLC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B36813" w14:textId="77777777" w:rsidR="0017417C" w:rsidRPr="00BF2C92" w:rsidRDefault="0017417C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6B30D85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B64AE0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B634FC4" w14:textId="77777777" w:rsidR="0017417C" w:rsidRPr="00BF2C92" w:rsidRDefault="0017417C" w:rsidP="0017417C">
            <w:pPr>
              <w:keepLines/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F7C440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491031C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2B9FEC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3A31C84" w14:textId="41F493C9" w:rsidR="0084585A" w:rsidRPr="0084585A" w:rsidRDefault="0084585A" w:rsidP="0084585A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  <w:b w:val="0"/>
              </w:rPr>
            </w:pPr>
            <w:r w:rsidRPr="000252FB">
              <w:rPr>
                <w:rFonts w:ascii="Arial" w:hAnsi="Arial" w:cs="Arial"/>
                <w:b w:val="0"/>
              </w:rPr>
              <w:t>REGS_UTLC_2020_03_18_P19.4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389D07E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490C565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9675C7" w14:textId="5A6FD7DF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19.4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90038F0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</w:rPr>
              <w:t>Education and Professional Development STLC</w:t>
            </w:r>
          </w:p>
          <w:p w14:paraId="343141E4" w14:textId="78954220" w:rsidR="0017417C" w:rsidRPr="00BF2C92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Minutes from 23 January, no issues for UTLC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B98ABD" w14:textId="187A19EA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29A084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CC4ED0" w14:textId="2F997FD1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F8898F" w14:textId="2EC95489" w:rsidR="0017417C" w:rsidRPr="00BF2C92" w:rsidRDefault="0017417C" w:rsidP="0017417C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C2007F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8F59EAC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41516F" w14:textId="7CBCDCE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1DDBC0F" w14:textId="7473F258" w:rsidR="0017417C" w:rsidRPr="0084585A" w:rsidRDefault="0017417C" w:rsidP="0017417C">
            <w:pPr>
              <w:keepLines/>
              <w:widowControl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85A">
              <w:rPr>
                <w:rFonts w:ascii="Arial" w:hAnsi="Arial" w:cs="Arial"/>
                <w:b/>
                <w:sz w:val="24"/>
                <w:szCs w:val="24"/>
              </w:rPr>
              <w:t>VALIDATION SCHEDULE 2020-21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844FCA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2D16FB5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A78D54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8E59832" w14:textId="6050B64B" w:rsidR="0084585A" w:rsidRPr="0084585A" w:rsidRDefault="0084585A" w:rsidP="0084585A">
            <w:pPr>
              <w:keepLines/>
              <w:widowControl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REGS_UTLC_2020_03_18_P20.1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B0C9758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718D51C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534036" w14:textId="1F250532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20.1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1BA3E7" w14:textId="65B457D4" w:rsidR="0017417C" w:rsidRPr="00BF2C92" w:rsidRDefault="0084585A" w:rsidP="0084585A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</w:t>
            </w:r>
            <w:r w:rsidR="0017417C" w:rsidRPr="00BF2C92">
              <w:rPr>
                <w:rFonts w:ascii="Arial" w:hAnsi="Arial" w:cs="Arial"/>
                <w:b w:val="0"/>
              </w:rPr>
              <w:t>updated validation schedule</w:t>
            </w:r>
            <w:r w:rsidR="00F05C70">
              <w:rPr>
                <w:rFonts w:ascii="Arial" w:hAnsi="Arial" w:cs="Arial"/>
                <w:b w:val="0"/>
              </w:rPr>
              <w:t xml:space="preserve"> was approved via Chair’s Action</w:t>
            </w:r>
            <w:r w:rsidR="0017417C" w:rsidRPr="00BF2C92">
              <w:rPr>
                <w:rFonts w:ascii="Arial" w:hAnsi="Arial" w:cs="Arial"/>
                <w:b w:val="0"/>
              </w:rPr>
              <w:t>.</w:t>
            </w:r>
          </w:p>
          <w:p w14:paraId="52422765" w14:textId="77777777" w:rsidR="0084585A" w:rsidRDefault="0084585A" w:rsidP="008458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34EE8" w14:textId="18CB81E0" w:rsidR="0017417C" w:rsidRPr="00BF2C92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This will be a standing item at future meetings.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86D45B" w14:textId="7ABB60D8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4EA6919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932410" w14:textId="3EA0092D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6DB5EE4" w14:textId="1C8CD818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D42BF2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6386B73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A94FCE" w14:textId="624AD4E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E67490F" w14:textId="6BD686FE" w:rsidR="0017417C" w:rsidRPr="0084585A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85A">
              <w:rPr>
                <w:rFonts w:ascii="Arial" w:hAnsi="Arial" w:cs="Arial"/>
                <w:b/>
                <w:sz w:val="24"/>
                <w:szCs w:val="24"/>
              </w:rPr>
              <w:t>REPORTS FROM VALIDATION PANELS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6A9945" w14:textId="21D4D0D0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75018D5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CF8F27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1662067" w14:textId="06397BB2" w:rsidR="0084585A" w:rsidRDefault="0084585A" w:rsidP="0084585A">
            <w:pPr>
              <w:jc w:val="right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</w:t>
            </w:r>
          </w:p>
          <w:p w14:paraId="008DF2A3" w14:textId="65CAA9B1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REGS_UTLC_2020_03_18_P21.1A</w:t>
            </w:r>
          </w:p>
          <w:p w14:paraId="60A1F602" w14:textId="75834538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REGS_UTLC_2020_03_18_P21.1B</w:t>
            </w:r>
          </w:p>
          <w:p w14:paraId="40679DAB" w14:textId="43C4DB71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REGS_UTLC_2020_03_18_P21.1Ci</w:t>
            </w:r>
          </w:p>
          <w:p w14:paraId="6218807C" w14:textId="51A4AF5A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REGS_UTLC_2020_03_18_P21.1Cii</w:t>
            </w:r>
          </w:p>
          <w:p w14:paraId="61060D4E" w14:textId="1E3EAFB3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REGS_UTLC_2020_03_18_P21.1D</w:t>
            </w:r>
          </w:p>
          <w:p w14:paraId="403957A1" w14:textId="720E8A63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REGS_UTLC_2020_03_18_P21.1E</w:t>
            </w:r>
          </w:p>
          <w:p w14:paraId="72E3A3B6" w14:textId="5637903F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REGS_UTLC_2020_03_18_P21.1F</w:t>
            </w:r>
          </w:p>
          <w:p w14:paraId="220C705C" w14:textId="67C907C4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REGS_UTLC_2020_03_18_P21.1G</w:t>
            </w:r>
          </w:p>
          <w:p w14:paraId="523F3AFC" w14:textId="62299A22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REGS_UTLC_2020_03_18_P21.1H</w:t>
            </w:r>
          </w:p>
          <w:p w14:paraId="5EC6ACE9" w14:textId="4EBDA579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REGS_UTLC_2020_03_18_P21.1I</w:t>
            </w:r>
          </w:p>
          <w:p w14:paraId="52B39340" w14:textId="0223803B" w:rsidR="0084585A" w:rsidRPr="0084585A" w:rsidRDefault="0084585A" w:rsidP="008458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REGS_UTLC_2020_03_18_P21.1J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24CE0C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3EC4134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3C7CD0" w14:textId="16550A21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68CF4ED" w14:textId="3B0FD60A" w:rsidR="0017417C" w:rsidRPr="0084585A" w:rsidRDefault="0084585A" w:rsidP="00F05C70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</w:t>
            </w:r>
            <w:r w:rsidR="00F05C70">
              <w:rPr>
                <w:rFonts w:ascii="Arial" w:hAnsi="Arial" w:cs="Arial"/>
                <w:b w:val="0"/>
              </w:rPr>
              <w:t xml:space="preserve">Chair </w:t>
            </w:r>
            <w:r w:rsidR="0017417C" w:rsidRPr="00BF2C92">
              <w:rPr>
                <w:rFonts w:ascii="Arial" w:hAnsi="Arial" w:cs="Arial"/>
                <w:b w:val="0"/>
              </w:rPr>
              <w:t>note</w:t>
            </w:r>
            <w:r>
              <w:rPr>
                <w:rFonts w:ascii="Arial" w:hAnsi="Arial" w:cs="Arial"/>
                <w:b w:val="0"/>
              </w:rPr>
              <w:t>d</w:t>
            </w:r>
            <w:r w:rsidR="0017417C" w:rsidRPr="00BF2C92">
              <w:rPr>
                <w:rFonts w:ascii="Arial" w:hAnsi="Arial" w:cs="Arial"/>
                <w:b w:val="0"/>
              </w:rPr>
              <w:t xml:space="preserve"> the reports arising from validation events</w:t>
            </w:r>
            <w:r w:rsidR="00F05C70">
              <w:rPr>
                <w:rFonts w:ascii="Arial" w:hAnsi="Arial" w:cs="Arial"/>
                <w:b w:val="0"/>
              </w:rPr>
              <w:t xml:space="preserve"> via Chair’s Action</w:t>
            </w:r>
            <w:r w:rsidR="0017417C" w:rsidRPr="00BF2C92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9D1F3B" w14:textId="0F6ECB40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612F475B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3BE367" w14:textId="49D29F05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68FEA4A" w14:textId="302B6174" w:rsidR="0017417C" w:rsidRPr="00BF2C92" w:rsidRDefault="0017417C" w:rsidP="0017417C">
            <w:pPr>
              <w:keepLines/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1C0D19" w14:textId="0B46626E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431C4D1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9A6C5" w14:textId="263ACDC9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16E5A57" w14:textId="77777777" w:rsidR="0017417C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585A">
              <w:rPr>
                <w:rFonts w:ascii="Arial" w:hAnsi="Arial" w:cs="Arial"/>
                <w:b/>
                <w:sz w:val="24"/>
                <w:szCs w:val="24"/>
              </w:rPr>
              <w:t>REPORTS FROM REVIEW PANELS</w:t>
            </w:r>
          </w:p>
          <w:p w14:paraId="56EF90EE" w14:textId="6BE35501" w:rsidR="0020383A" w:rsidRPr="0020383A" w:rsidRDefault="0020383A" w:rsidP="0017417C">
            <w:pPr>
              <w:rPr>
                <w:rFonts w:ascii="Arial" w:hAnsi="Arial" w:cs="Arial"/>
                <w:sz w:val="24"/>
                <w:szCs w:val="24"/>
              </w:rPr>
            </w:pPr>
            <w:r w:rsidRPr="0020383A">
              <w:rPr>
                <w:rFonts w:ascii="Arial" w:hAnsi="Arial" w:cs="Arial"/>
                <w:sz w:val="24"/>
                <w:szCs w:val="24"/>
              </w:rPr>
              <w:t>The Chair noted and took Chair’s Action against the following reports from Subject Review Panels: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97F199" w14:textId="60960793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1FE33EB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020E06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64ED26F" w14:textId="0696AD11" w:rsidR="0084585A" w:rsidRDefault="0084585A" w:rsidP="0084585A">
            <w:pPr>
              <w:jc w:val="right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</w:t>
            </w:r>
          </w:p>
          <w:p w14:paraId="18EBA3A0" w14:textId="77777777" w:rsidR="0084585A" w:rsidRPr="000252FB" w:rsidRDefault="000252FB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84585A" w:rsidRPr="000252FB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REGS_UTLC_2020_03_18_P22.1i</w:t>
              </w:r>
            </w:hyperlink>
          </w:p>
          <w:p w14:paraId="7EE0C66E" w14:textId="2F1C3B55" w:rsidR="0084585A" w:rsidRPr="0084585A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lastRenderedPageBreak/>
              <w:t>REGS_UTLC_2020_03_18_P22.1ii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296A64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C08D5D4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CF9E89" w14:textId="302827E2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22.1</w:t>
            </w:r>
          </w:p>
          <w:p w14:paraId="2F01DA44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9626B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316C3A" w14:textId="2FF60449" w:rsidR="0017417C" w:rsidRPr="00BF2C92" w:rsidRDefault="0017417C" w:rsidP="008458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The report of the Subject Review of Podiatry and Clinical Sciences subject area held on 18 April 2018 and School response approved by School Board on 24 February 2020.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0F43AF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B2F91CC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811C03F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A5A3CB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C5D195" w14:textId="0AF8F716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3060863" w14:textId="0C2BAE68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7C8DD7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A" w:rsidRPr="00BF2C92" w14:paraId="2A62965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D6041E" w14:textId="77777777" w:rsidR="0084585A" w:rsidRPr="00BF2C92" w:rsidRDefault="0084585A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FA43C84" w14:textId="1A208DA1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REGS_UTLC_2020_03_18_P22.2i</w:t>
            </w:r>
          </w:p>
          <w:p w14:paraId="6AB2671F" w14:textId="300D3490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REGS_UTLC_2020_03_18_P22.2ii</w:t>
            </w:r>
          </w:p>
          <w:p w14:paraId="4168AFE4" w14:textId="58DE3183" w:rsidR="0084585A" w:rsidRPr="00BF2C92" w:rsidRDefault="0084585A" w:rsidP="00845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REGS_UTLC_2020_03_18_P22.2iii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30921F" w14:textId="77777777" w:rsidR="0084585A" w:rsidRPr="00BF2C92" w:rsidRDefault="0084585A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413042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CE9417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22.2</w:t>
            </w:r>
          </w:p>
          <w:p w14:paraId="62D7D028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5977A9" w14:textId="4A13F4B2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The report of the Subject Review of Criminology, Politics and Sociology subject area held on 26 March 2018 and School response approved by School Board on 24 February 2020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503BCD" w14:textId="15649B3D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B0ED42D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BAC27D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BC3F52D" w14:textId="3A58C167" w:rsidR="0017417C" w:rsidRPr="00BF2C92" w:rsidRDefault="0017417C" w:rsidP="0017417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A188ED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99" w:rsidRPr="00BF2C92" w14:paraId="35BA482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3E1A66" w14:textId="77777777" w:rsidR="00212C99" w:rsidRPr="00BF2C92" w:rsidRDefault="00212C99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62C3AB3" w14:textId="281DF203" w:rsidR="00212C99" w:rsidRPr="00BF2C92" w:rsidRDefault="00212C99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REGS_UTLC_2020_03_18_P22.3i</w:t>
            </w:r>
          </w:p>
          <w:p w14:paraId="7C87842E" w14:textId="6A716239" w:rsidR="00212C99" w:rsidRPr="00212C99" w:rsidRDefault="00212C99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REGS_UTLC_2020_03_18_P22.3ii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E6E3B3" w14:textId="77777777" w:rsidR="00212C99" w:rsidRPr="00BF2C92" w:rsidRDefault="00212C99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73F890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5A5AED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22.3</w:t>
            </w:r>
          </w:p>
          <w:p w14:paraId="089366D3" w14:textId="7A0058C4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DC5C89" w14:textId="1753B9E7" w:rsidR="0017417C" w:rsidRPr="00212C99" w:rsidRDefault="0017417C" w:rsidP="00212C99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  <w:b w:val="0"/>
              </w:rPr>
              <w:t>The report of the Subject Review of Specialist Skills Development – Undergraduate and Postgraduate subject area held on 5 April 2019 and School response approved by School Board on 24 February 2020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D6A9DE" w14:textId="77777777" w:rsidR="0017417C" w:rsidRPr="00BF2C92" w:rsidRDefault="0017417C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1F3D12D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EFAC1C" w14:textId="3833C03D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AA980B" w14:textId="19D9F828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97D117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99" w:rsidRPr="00BF2C92" w14:paraId="7E511297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2D3FEF" w14:textId="77777777" w:rsidR="00212C99" w:rsidRPr="00BF2C92" w:rsidRDefault="00212C99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A6F8842" w14:textId="0749D993" w:rsidR="00212C99" w:rsidRPr="00BF2C92" w:rsidRDefault="00212C99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REGS_UTLC_2020_03_18_P22.4i</w:t>
            </w:r>
          </w:p>
          <w:p w14:paraId="43FAA15F" w14:textId="45110B78" w:rsidR="00212C99" w:rsidRPr="00212C99" w:rsidRDefault="00212C99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REGS_UTLC_2020_03_18_P22.4ii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0D826C" w14:textId="77777777" w:rsidR="00212C99" w:rsidRPr="00BF2C92" w:rsidRDefault="00212C99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ED58558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3B060D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22.4</w:t>
            </w:r>
          </w:p>
          <w:p w14:paraId="6DD14EA4" w14:textId="1579F1B9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1C2C897" w14:textId="686C0A3C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</w:rPr>
            </w:pPr>
            <w:r w:rsidRPr="00BF2C92">
              <w:rPr>
                <w:rFonts w:ascii="Arial" w:hAnsi="Arial" w:cs="Arial"/>
                <w:b w:val="0"/>
              </w:rPr>
              <w:t>The report of the Subject Review of Specialist Skills Development (NMC regulated) subject area held on 30 April 2019 and School response approved by School Board on 24 February 2020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96089E" w14:textId="77777777" w:rsidR="0017417C" w:rsidRPr="00BF2C92" w:rsidRDefault="0017417C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0DC9F3A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907221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37755D2" w14:textId="499DBC03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244077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246678D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942D4" w14:textId="6E562418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23.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35B241" w14:textId="7B1501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 w:rsidRPr="00BF2C92">
              <w:rPr>
                <w:rFonts w:ascii="Arial" w:hAnsi="Arial" w:cs="Arial"/>
              </w:rPr>
              <w:t>UNIVERSITY INTERNATIONAL COMMITTEE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044F64" w14:textId="3E16C756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2C99" w:rsidRPr="00BF2C92" w14:paraId="27ED918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4917F9" w14:textId="77777777" w:rsidR="00212C99" w:rsidRPr="00BF2C92" w:rsidRDefault="00212C99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F2991A9" w14:textId="0CF3DD8F" w:rsidR="00212C99" w:rsidRPr="00212C99" w:rsidRDefault="00212C99" w:rsidP="00212C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2FB">
              <w:rPr>
                <w:rFonts w:ascii="Arial" w:hAnsi="Arial" w:cs="Arial"/>
                <w:sz w:val="24"/>
                <w:szCs w:val="24"/>
              </w:rPr>
              <w:t>R</w:t>
            </w:r>
            <w:bookmarkStart w:id="0" w:name="_GoBack"/>
            <w:r w:rsidRPr="000252FB">
              <w:rPr>
                <w:rFonts w:ascii="Arial" w:hAnsi="Arial" w:cs="Arial"/>
                <w:sz w:val="24"/>
                <w:szCs w:val="24"/>
              </w:rPr>
              <w:t>EGS_UTLC_2020_03_18_P23.1</w:t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C5D0F2" w14:textId="77777777" w:rsidR="00212C99" w:rsidRPr="00BF2C92" w:rsidRDefault="00212C99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6E8BE652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5B83CD" w14:textId="6FE61CB3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8DC1E99" w14:textId="5EB1F163" w:rsidR="0017417C" w:rsidRPr="00BF2C92" w:rsidRDefault="00212C99" w:rsidP="0020383A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The </w:t>
            </w:r>
            <w:r w:rsidR="0017417C" w:rsidRPr="00BF2C92">
              <w:rPr>
                <w:rFonts w:ascii="Arial" w:hAnsi="Arial" w:cs="Arial"/>
                <w:b w:val="0"/>
              </w:rPr>
              <w:t>minutes from the meeting of the University International Committee held on 19 February 2020</w:t>
            </w:r>
            <w:r w:rsidR="0020383A">
              <w:rPr>
                <w:rFonts w:ascii="Arial" w:hAnsi="Arial" w:cs="Arial"/>
                <w:b w:val="0"/>
              </w:rPr>
              <w:t xml:space="preserve"> were noted via Chair’s Action.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F8EA63B" w14:textId="77777777" w:rsidR="0017417C" w:rsidRPr="00BF2C92" w:rsidRDefault="0017417C" w:rsidP="00212C9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73FB9395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AEF82F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873DB59" w14:textId="77777777" w:rsidR="0017417C" w:rsidRPr="00BF2C92" w:rsidRDefault="0017417C" w:rsidP="0017417C">
            <w:pPr>
              <w:pStyle w:val="BodyTextIndent"/>
              <w:keepLines/>
              <w:widowControl w:val="0"/>
              <w:ind w:left="0"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B2A89E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4E13F28C" w14:textId="77777777" w:rsidTr="005734DB">
        <w:tc>
          <w:tcPr>
            <w:tcW w:w="10065" w:type="dxa"/>
            <w:gridSpan w:val="3"/>
            <w:tcBorders>
              <w:top w:val="nil"/>
              <w:bottom w:val="nil"/>
            </w:tcBorders>
            <w:shd w:val="clear" w:color="auto" w:fill="1F4E79" w:themeFill="accent1" w:themeFillShade="80"/>
          </w:tcPr>
          <w:p w14:paraId="3A363ECC" w14:textId="5DE61F76" w:rsidR="0017417C" w:rsidRPr="00BF2C92" w:rsidRDefault="0017417C" w:rsidP="0017417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OTHER BUSINESS</w:t>
            </w:r>
          </w:p>
        </w:tc>
      </w:tr>
      <w:tr w:rsidR="0017417C" w:rsidRPr="00BF2C92" w14:paraId="19DF35E9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4CC7E9" w14:textId="77777777" w:rsidR="0017417C" w:rsidRPr="00BF2C92" w:rsidRDefault="0017417C" w:rsidP="0017417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9E3ACC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424F0B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336DA58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23E81D" w14:textId="73786F0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2836789" w14:textId="79577E4C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27E449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908D05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D899A5" w14:textId="2C952F0F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24.1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8B42B5" w14:textId="748FE94C" w:rsidR="0017417C" w:rsidRPr="00BF2C92" w:rsidRDefault="00F07024" w:rsidP="00174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other items of business were received.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8AFC95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3C3BC93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F7A358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42436E" w14:textId="6044C56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21B259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3A8DB4CA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2E670" w14:textId="7F35558A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25.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17FEB5B" w14:textId="77777777" w:rsidR="0017417C" w:rsidRPr="00BF2C92" w:rsidRDefault="0017417C" w:rsidP="0017417C">
            <w:pPr>
              <w:keepLines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AVAILABILITY OF AGENDA, PAPERS AND MINUTES</w:t>
            </w:r>
          </w:p>
          <w:p w14:paraId="17AF2D28" w14:textId="18EE876F" w:rsidR="0017417C" w:rsidRPr="00BF2C92" w:rsidRDefault="0017417C" w:rsidP="0020383A">
            <w:pPr>
              <w:rPr>
                <w:rFonts w:ascii="Arial" w:hAnsi="Arial" w:cs="Arial"/>
                <w:sz w:val="24"/>
                <w:szCs w:val="24"/>
              </w:rPr>
            </w:pPr>
            <w:r w:rsidRPr="00BF2C92">
              <w:rPr>
                <w:rFonts w:ascii="Arial" w:hAnsi="Arial" w:cs="Arial"/>
                <w:sz w:val="24"/>
                <w:szCs w:val="24"/>
              </w:rPr>
              <w:t>The C</w:t>
            </w:r>
            <w:r w:rsidR="0020383A">
              <w:rPr>
                <w:rFonts w:ascii="Arial" w:hAnsi="Arial" w:cs="Arial"/>
                <w:sz w:val="24"/>
                <w:szCs w:val="24"/>
              </w:rPr>
              <w:t xml:space="preserve">hair </w:t>
            </w:r>
            <w:r w:rsidRPr="00BF2C92">
              <w:rPr>
                <w:rFonts w:ascii="Arial" w:hAnsi="Arial" w:cs="Arial"/>
                <w:sz w:val="24"/>
                <w:szCs w:val="24"/>
              </w:rPr>
              <w:t>confirmed that no agenda items, papers or minutes should be treated as confidential.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642289" w14:textId="46F71E5E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17C" w:rsidRPr="00BF2C92" w14:paraId="27B2FAB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A7CD22" w14:textId="77777777" w:rsidR="0017417C" w:rsidRPr="00BF2C92" w:rsidRDefault="0017417C" w:rsidP="0017417C">
            <w:pPr>
              <w:pStyle w:val="ListParagraph"/>
              <w:ind w:left="7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A755038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933708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73FF0DDE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D48AB5" w14:textId="657A5E84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6DA42DA" w14:textId="775C6646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DATE OF NEXT MEETING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43A433" w14:textId="77777777" w:rsidR="0017417C" w:rsidRPr="00BF2C92" w:rsidRDefault="0017417C" w:rsidP="00174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7A25AD1F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CC7D66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C92">
              <w:rPr>
                <w:rFonts w:ascii="Arial" w:hAnsi="Arial" w:cs="Arial"/>
                <w:b/>
                <w:sz w:val="24"/>
                <w:szCs w:val="24"/>
              </w:rPr>
              <w:t>26.1</w:t>
            </w:r>
          </w:p>
          <w:p w14:paraId="1E9B89DF" w14:textId="77777777" w:rsidR="0017417C" w:rsidRPr="00BF2C92" w:rsidRDefault="0017417C" w:rsidP="0017417C">
            <w:pPr>
              <w:pStyle w:val="ListParagraph"/>
              <w:ind w:left="7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04FAB7" w14:textId="3B6171B4" w:rsidR="0017417C" w:rsidRPr="00BF2C92" w:rsidRDefault="00F07024" w:rsidP="002038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confirmed that the date and time of the next meeting will be </w:t>
            </w:r>
            <w:r w:rsidR="0020383A">
              <w:rPr>
                <w:rFonts w:ascii="Arial" w:hAnsi="Arial" w:cs="Arial"/>
                <w:sz w:val="24"/>
                <w:szCs w:val="24"/>
              </w:rPr>
              <w:t xml:space="preserve">Wednesday, 20 May 2020, at 9.30am via zoom.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131BFD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17C" w:rsidRPr="00BF2C92" w14:paraId="5DA8C1E6" w14:textId="77777777" w:rsidTr="0039568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C1531E" w14:textId="77777777" w:rsidR="0017417C" w:rsidRPr="00BF2C92" w:rsidRDefault="0017417C" w:rsidP="0017417C">
            <w:pPr>
              <w:pStyle w:val="ListParagraph"/>
              <w:ind w:left="7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9E703B" w14:textId="77777777" w:rsidR="0017417C" w:rsidRPr="00BF2C92" w:rsidRDefault="0017417C" w:rsidP="00174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44421B" w14:textId="77777777" w:rsidR="0017417C" w:rsidRPr="00BF2C92" w:rsidRDefault="0017417C" w:rsidP="001741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19B96C" w14:textId="6E1FB6BB" w:rsidR="001948A0" w:rsidRPr="00BF2C92" w:rsidRDefault="001948A0" w:rsidP="00E863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21BAB" w14:textId="1452E9F1" w:rsidR="0017417C" w:rsidRPr="00BF2C92" w:rsidRDefault="0017417C" w:rsidP="00E863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2C92">
        <w:rPr>
          <w:rFonts w:ascii="Arial" w:hAnsi="Arial" w:cs="Arial"/>
          <w:sz w:val="24"/>
          <w:szCs w:val="24"/>
        </w:rPr>
        <w:t>Karen Brough</w:t>
      </w:r>
    </w:p>
    <w:p w14:paraId="4BE5834A" w14:textId="7A9E6606" w:rsidR="0017417C" w:rsidRPr="00BF2C92" w:rsidRDefault="0017417C" w:rsidP="00E863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2C92">
        <w:rPr>
          <w:rFonts w:ascii="Arial" w:hAnsi="Arial" w:cs="Arial"/>
          <w:sz w:val="24"/>
          <w:szCs w:val="24"/>
        </w:rPr>
        <w:t>Secretary</w:t>
      </w:r>
    </w:p>
    <w:p w14:paraId="29BCFAAD" w14:textId="4ACDC89B" w:rsidR="0017417C" w:rsidRPr="00BF2C92" w:rsidRDefault="0020383A" w:rsidP="00E863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17417C" w:rsidRPr="00BF2C92">
        <w:rPr>
          <w:rFonts w:ascii="Arial" w:hAnsi="Arial" w:cs="Arial"/>
          <w:sz w:val="24"/>
          <w:szCs w:val="24"/>
        </w:rPr>
        <w:t xml:space="preserve"> 2020</w:t>
      </w:r>
    </w:p>
    <w:sectPr w:rsidR="0017417C" w:rsidRPr="00BF2C92" w:rsidSect="00874C67">
      <w:headerReference w:type="first" r:id="rId8"/>
      <w:footerReference w:type="first" r:id="rId9"/>
      <w:pgSz w:w="11906" w:h="16838"/>
      <w:pgMar w:top="1553" w:right="992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66AF6" w14:textId="77777777" w:rsidR="000A6E7E" w:rsidRDefault="000A6E7E" w:rsidP="001948A0">
      <w:pPr>
        <w:spacing w:after="0" w:line="240" w:lineRule="auto"/>
      </w:pPr>
      <w:r>
        <w:separator/>
      </w:r>
    </w:p>
  </w:endnote>
  <w:endnote w:type="continuationSeparator" w:id="0">
    <w:p w14:paraId="572FADE5" w14:textId="77777777" w:rsidR="000A6E7E" w:rsidRDefault="000A6E7E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C7AB" w14:textId="59FFFBE6" w:rsidR="000A6E7E" w:rsidRPr="009C3FB0" w:rsidRDefault="000A6E7E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192E94">
      <w:rPr>
        <w:noProof/>
        <w:sz w:val="18"/>
        <w:szCs w:val="18"/>
      </w:rPr>
      <w:t>L:\Committees\University Teaching and Learning Committee (UTLC)\2019-20\Minutes\REGS_UTLC_2020_03_18_M.docx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83338C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9F8C3" w14:textId="77777777" w:rsidR="000A6E7E" w:rsidRDefault="000A6E7E" w:rsidP="001948A0">
      <w:pPr>
        <w:spacing w:after="0" w:line="240" w:lineRule="auto"/>
      </w:pPr>
      <w:r>
        <w:separator/>
      </w:r>
    </w:p>
  </w:footnote>
  <w:footnote w:type="continuationSeparator" w:id="0">
    <w:p w14:paraId="29237E18" w14:textId="77777777" w:rsidR="000A6E7E" w:rsidRDefault="000A6E7E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9389" w14:textId="52C2736E" w:rsidR="000A6E7E" w:rsidRDefault="000A6E7E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F02330C" wp14:editId="126D5211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1F4E79" w:themeColor="accent1" w:themeShade="80"/>
        <w:sz w:val="24"/>
        <w:szCs w:val="24"/>
      </w:rPr>
      <w:t>REGS_UTLC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>
      <w:rPr>
        <w:rFonts w:ascii="Arial" w:hAnsi="Arial" w:cs="Arial"/>
        <w:b/>
        <w:color w:val="1F4E79" w:themeColor="accent1" w:themeShade="80"/>
        <w:sz w:val="24"/>
        <w:szCs w:val="24"/>
      </w:rPr>
      <w:t>2020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>
      <w:rPr>
        <w:rFonts w:ascii="Arial" w:hAnsi="Arial" w:cs="Arial"/>
        <w:b/>
        <w:color w:val="1F4E79" w:themeColor="accent1" w:themeShade="80"/>
        <w:sz w:val="24"/>
        <w:szCs w:val="24"/>
      </w:rPr>
      <w:t>01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>
      <w:rPr>
        <w:rFonts w:ascii="Arial" w:hAnsi="Arial" w:cs="Arial"/>
        <w:b/>
        <w:color w:val="1F4E79" w:themeColor="accent1" w:themeShade="80"/>
        <w:sz w:val="24"/>
        <w:szCs w:val="24"/>
      </w:rPr>
      <w:t>29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>
      <w:rPr>
        <w:rFonts w:ascii="Arial" w:hAnsi="Arial" w:cs="Arial"/>
        <w:b/>
        <w:color w:val="1F4E79" w:themeColor="accent1" w:themeShade="80"/>
        <w:sz w:val="24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601EF"/>
    <w:multiLevelType w:val="hybridMultilevel"/>
    <w:tmpl w:val="CCFA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6FEE"/>
    <w:multiLevelType w:val="hybridMultilevel"/>
    <w:tmpl w:val="F48ADA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9D7"/>
    <w:multiLevelType w:val="hybridMultilevel"/>
    <w:tmpl w:val="05920BCA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410C2"/>
    <w:multiLevelType w:val="hybridMultilevel"/>
    <w:tmpl w:val="7298A886"/>
    <w:lvl w:ilvl="0" w:tplc="C114AE7C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72CA"/>
    <w:multiLevelType w:val="hybridMultilevel"/>
    <w:tmpl w:val="A50EAF0E"/>
    <w:lvl w:ilvl="0" w:tplc="33D84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6864"/>
    <w:multiLevelType w:val="hybridMultilevel"/>
    <w:tmpl w:val="05920BCA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950A84"/>
    <w:multiLevelType w:val="hybridMultilevel"/>
    <w:tmpl w:val="A990680C"/>
    <w:lvl w:ilvl="0" w:tplc="46BE7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1878D0"/>
    <w:multiLevelType w:val="multilevel"/>
    <w:tmpl w:val="1318D3F4"/>
    <w:lvl w:ilvl="0">
      <w:start w:val="1"/>
      <w:numFmt w:val="decimal"/>
      <w:lvlText w:val="%1."/>
      <w:lvlJc w:val="left"/>
      <w:pPr>
        <w:ind w:left="785" w:hanging="360"/>
      </w:pPr>
      <w:rPr>
        <w:b/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1" w15:restartNumberingAfterBreak="0">
    <w:nsid w:val="45713812"/>
    <w:multiLevelType w:val="hybridMultilevel"/>
    <w:tmpl w:val="0FAC7618"/>
    <w:lvl w:ilvl="0" w:tplc="7E8C2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4FFD"/>
    <w:multiLevelType w:val="hybridMultilevel"/>
    <w:tmpl w:val="BB12108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1CD4"/>
    <w:rsid w:val="00004981"/>
    <w:rsid w:val="00004DAA"/>
    <w:rsid w:val="00005BAF"/>
    <w:rsid w:val="00007298"/>
    <w:rsid w:val="00016303"/>
    <w:rsid w:val="00016C68"/>
    <w:rsid w:val="00017CAE"/>
    <w:rsid w:val="00021C98"/>
    <w:rsid w:val="000233B6"/>
    <w:rsid w:val="00023C23"/>
    <w:rsid w:val="000252FB"/>
    <w:rsid w:val="000314BC"/>
    <w:rsid w:val="00034FCB"/>
    <w:rsid w:val="00042425"/>
    <w:rsid w:val="00044CDE"/>
    <w:rsid w:val="00044CEC"/>
    <w:rsid w:val="00045B28"/>
    <w:rsid w:val="00052834"/>
    <w:rsid w:val="00054A0E"/>
    <w:rsid w:val="0005701E"/>
    <w:rsid w:val="00057B40"/>
    <w:rsid w:val="00057E76"/>
    <w:rsid w:val="00060CBE"/>
    <w:rsid w:val="00063D0F"/>
    <w:rsid w:val="0006490E"/>
    <w:rsid w:val="0006540A"/>
    <w:rsid w:val="0006721C"/>
    <w:rsid w:val="00073EBF"/>
    <w:rsid w:val="0007544D"/>
    <w:rsid w:val="00077B46"/>
    <w:rsid w:val="00081C4A"/>
    <w:rsid w:val="0009586B"/>
    <w:rsid w:val="000A3407"/>
    <w:rsid w:val="000A6E7E"/>
    <w:rsid w:val="000A7F11"/>
    <w:rsid w:val="000B23E3"/>
    <w:rsid w:val="000B3659"/>
    <w:rsid w:val="000B489E"/>
    <w:rsid w:val="000B4C10"/>
    <w:rsid w:val="000C0A4D"/>
    <w:rsid w:val="000C2682"/>
    <w:rsid w:val="000C3B89"/>
    <w:rsid w:val="000D0053"/>
    <w:rsid w:val="000D0CAC"/>
    <w:rsid w:val="000D370A"/>
    <w:rsid w:val="000D65F8"/>
    <w:rsid w:val="000D717D"/>
    <w:rsid w:val="000E1D2B"/>
    <w:rsid w:val="000E6197"/>
    <w:rsid w:val="000E7154"/>
    <w:rsid w:val="000E73A5"/>
    <w:rsid w:val="000F1916"/>
    <w:rsid w:val="000F22DD"/>
    <w:rsid w:val="000F28D8"/>
    <w:rsid w:val="000F340C"/>
    <w:rsid w:val="000F3787"/>
    <w:rsid w:val="000F542C"/>
    <w:rsid w:val="000F76EA"/>
    <w:rsid w:val="00101860"/>
    <w:rsid w:val="00102AFD"/>
    <w:rsid w:val="00103A3D"/>
    <w:rsid w:val="00105948"/>
    <w:rsid w:val="001077CC"/>
    <w:rsid w:val="001153C1"/>
    <w:rsid w:val="0012443B"/>
    <w:rsid w:val="00131717"/>
    <w:rsid w:val="00131E98"/>
    <w:rsid w:val="001333BE"/>
    <w:rsid w:val="00133AB3"/>
    <w:rsid w:val="001379A0"/>
    <w:rsid w:val="001440FC"/>
    <w:rsid w:val="00144EFC"/>
    <w:rsid w:val="00145283"/>
    <w:rsid w:val="00145535"/>
    <w:rsid w:val="00147A59"/>
    <w:rsid w:val="00150012"/>
    <w:rsid w:val="001525E2"/>
    <w:rsid w:val="00152782"/>
    <w:rsid w:val="00157280"/>
    <w:rsid w:val="0015768B"/>
    <w:rsid w:val="00161136"/>
    <w:rsid w:val="0016276B"/>
    <w:rsid w:val="00162ECF"/>
    <w:rsid w:val="001650D0"/>
    <w:rsid w:val="001705D4"/>
    <w:rsid w:val="00170714"/>
    <w:rsid w:val="00172637"/>
    <w:rsid w:val="00172B1D"/>
    <w:rsid w:val="00173E36"/>
    <w:rsid w:val="0017408F"/>
    <w:rsid w:val="0017417C"/>
    <w:rsid w:val="00180DFC"/>
    <w:rsid w:val="00180F9B"/>
    <w:rsid w:val="00182F50"/>
    <w:rsid w:val="00183930"/>
    <w:rsid w:val="00185FFE"/>
    <w:rsid w:val="00186273"/>
    <w:rsid w:val="00190D77"/>
    <w:rsid w:val="00191473"/>
    <w:rsid w:val="00191ADC"/>
    <w:rsid w:val="00192E94"/>
    <w:rsid w:val="001930FA"/>
    <w:rsid w:val="001933E1"/>
    <w:rsid w:val="001948A0"/>
    <w:rsid w:val="00196835"/>
    <w:rsid w:val="001A3C50"/>
    <w:rsid w:val="001A5772"/>
    <w:rsid w:val="001A640D"/>
    <w:rsid w:val="001A69AC"/>
    <w:rsid w:val="001A7612"/>
    <w:rsid w:val="001B226B"/>
    <w:rsid w:val="001B5354"/>
    <w:rsid w:val="001B6047"/>
    <w:rsid w:val="001C0A4A"/>
    <w:rsid w:val="001C45A1"/>
    <w:rsid w:val="001C6FCD"/>
    <w:rsid w:val="001C7092"/>
    <w:rsid w:val="001D2893"/>
    <w:rsid w:val="001D40BB"/>
    <w:rsid w:val="001D5D85"/>
    <w:rsid w:val="001D6AB8"/>
    <w:rsid w:val="001D6FF7"/>
    <w:rsid w:val="001D712D"/>
    <w:rsid w:val="001E13B1"/>
    <w:rsid w:val="001E2367"/>
    <w:rsid w:val="001E396E"/>
    <w:rsid w:val="001E396F"/>
    <w:rsid w:val="001E429C"/>
    <w:rsid w:val="001F0932"/>
    <w:rsid w:val="001F14B3"/>
    <w:rsid w:val="001F6D8D"/>
    <w:rsid w:val="00201C99"/>
    <w:rsid w:val="0020210D"/>
    <w:rsid w:val="002021E0"/>
    <w:rsid w:val="00203277"/>
    <w:rsid w:val="0020383A"/>
    <w:rsid w:val="00205806"/>
    <w:rsid w:val="00206DD0"/>
    <w:rsid w:val="002104CA"/>
    <w:rsid w:val="00212C99"/>
    <w:rsid w:val="002165CD"/>
    <w:rsid w:val="00220CF5"/>
    <w:rsid w:val="00221E04"/>
    <w:rsid w:val="00222797"/>
    <w:rsid w:val="00224FAE"/>
    <w:rsid w:val="00231103"/>
    <w:rsid w:val="00232FB8"/>
    <w:rsid w:val="00234E34"/>
    <w:rsid w:val="00236595"/>
    <w:rsid w:val="00240C67"/>
    <w:rsid w:val="0024196F"/>
    <w:rsid w:val="00241D38"/>
    <w:rsid w:val="00243D5B"/>
    <w:rsid w:val="00247FA8"/>
    <w:rsid w:val="00251A92"/>
    <w:rsid w:val="00252B76"/>
    <w:rsid w:val="00253933"/>
    <w:rsid w:val="002553B0"/>
    <w:rsid w:val="00255BE0"/>
    <w:rsid w:val="00256974"/>
    <w:rsid w:val="002570E9"/>
    <w:rsid w:val="00260023"/>
    <w:rsid w:val="00260E48"/>
    <w:rsid w:val="002632E1"/>
    <w:rsid w:val="00266B8D"/>
    <w:rsid w:val="0027264C"/>
    <w:rsid w:val="00272B9A"/>
    <w:rsid w:val="00272BD3"/>
    <w:rsid w:val="002742E8"/>
    <w:rsid w:val="00275146"/>
    <w:rsid w:val="00275DF8"/>
    <w:rsid w:val="00277358"/>
    <w:rsid w:val="00277711"/>
    <w:rsid w:val="002806E3"/>
    <w:rsid w:val="00285340"/>
    <w:rsid w:val="00285CF6"/>
    <w:rsid w:val="0029202C"/>
    <w:rsid w:val="00293190"/>
    <w:rsid w:val="002933A2"/>
    <w:rsid w:val="00295FE8"/>
    <w:rsid w:val="0029753A"/>
    <w:rsid w:val="002A0D2E"/>
    <w:rsid w:val="002A2089"/>
    <w:rsid w:val="002B033C"/>
    <w:rsid w:val="002B21B0"/>
    <w:rsid w:val="002B2F42"/>
    <w:rsid w:val="002B56C6"/>
    <w:rsid w:val="002B5B37"/>
    <w:rsid w:val="002C49AB"/>
    <w:rsid w:val="002D5BA2"/>
    <w:rsid w:val="002D5D81"/>
    <w:rsid w:val="002E04E4"/>
    <w:rsid w:val="002E05E0"/>
    <w:rsid w:val="002E0A83"/>
    <w:rsid w:val="002E12BA"/>
    <w:rsid w:val="002E1347"/>
    <w:rsid w:val="002E1C3D"/>
    <w:rsid w:val="002E2368"/>
    <w:rsid w:val="002E2B56"/>
    <w:rsid w:val="002E3199"/>
    <w:rsid w:val="002E45B8"/>
    <w:rsid w:val="002E48B8"/>
    <w:rsid w:val="002E60E2"/>
    <w:rsid w:val="002E646A"/>
    <w:rsid w:val="002E7BE5"/>
    <w:rsid w:val="002F07D4"/>
    <w:rsid w:val="002F13CE"/>
    <w:rsid w:val="002F2874"/>
    <w:rsid w:val="003029EB"/>
    <w:rsid w:val="00303BE4"/>
    <w:rsid w:val="00303FE0"/>
    <w:rsid w:val="0030658B"/>
    <w:rsid w:val="003065A6"/>
    <w:rsid w:val="0030684C"/>
    <w:rsid w:val="00312EE3"/>
    <w:rsid w:val="00313FF8"/>
    <w:rsid w:val="00316AB4"/>
    <w:rsid w:val="00320BB1"/>
    <w:rsid w:val="003243EC"/>
    <w:rsid w:val="00324A80"/>
    <w:rsid w:val="0033062D"/>
    <w:rsid w:val="00332BCC"/>
    <w:rsid w:val="00334343"/>
    <w:rsid w:val="00335BF3"/>
    <w:rsid w:val="00336992"/>
    <w:rsid w:val="00340C4D"/>
    <w:rsid w:val="00344274"/>
    <w:rsid w:val="00347294"/>
    <w:rsid w:val="003509FB"/>
    <w:rsid w:val="00352B8D"/>
    <w:rsid w:val="00352C55"/>
    <w:rsid w:val="00354BE5"/>
    <w:rsid w:val="00360B49"/>
    <w:rsid w:val="00367333"/>
    <w:rsid w:val="00367EA9"/>
    <w:rsid w:val="00370A5E"/>
    <w:rsid w:val="00370F61"/>
    <w:rsid w:val="00371B7E"/>
    <w:rsid w:val="00371B98"/>
    <w:rsid w:val="00372EAC"/>
    <w:rsid w:val="0037398B"/>
    <w:rsid w:val="003757AF"/>
    <w:rsid w:val="00375AC0"/>
    <w:rsid w:val="003776C7"/>
    <w:rsid w:val="00381B81"/>
    <w:rsid w:val="00387BCE"/>
    <w:rsid w:val="0039550C"/>
    <w:rsid w:val="0039568E"/>
    <w:rsid w:val="003965CF"/>
    <w:rsid w:val="003A2BF3"/>
    <w:rsid w:val="003A36FA"/>
    <w:rsid w:val="003A5DC7"/>
    <w:rsid w:val="003A6C21"/>
    <w:rsid w:val="003A6EB7"/>
    <w:rsid w:val="003A7360"/>
    <w:rsid w:val="003B0241"/>
    <w:rsid w:val="003B283F"/>
    <w:rsid w:val="003B520C"/>
    <w:rsid w:val="003B7E13"/>
    <w:rsid w:val="003C1AC2"/>
    <w:rsid w:val="003C2332"/>
    <w:rsid w:val="003C78AD"/>
    <w:rsid w:val="003D2750"/>
    <w:rsid w:val="003D6CAF"/>
    <w:rsid w:val="003E3C96"/>
    <w:rsid w:val="003E40D7"/>
    <w:rsid w:val="003E485B"/>
    <w:rsid w:val="003E5922"/>
    <w:rsid w:val="003E65C3"/>
    <w:rsid w:val="003E7E70"/>
    <w:rsid w:val="003F036E"/>
    <w:rsid w:val="003F1C50"/>
    <w:rsid w:val="003F2660"/>
    <w:rsid w:val="003F2789"/>
    <w:rsid w:val="003F3B87"/>
    <w:rsid w:val="003F72ED"/>
    <w:rsid w:val="003F768B"/>
    <w:rsid w:val="0040213F"/>
    <w:rsid w:val="00403331"/>
    <w:rsid w:val="00403F77"/>
    <w:rsid w:val="00404167"/>
    <w:rsid w:val="004044BE"/>
    <w:rsid w:val="004049C5"/>
    <w:rsid w:val="00413E5D"/>
    <w:rsid w:val="00415406"/>
    <w:rsid w:val="0041593A"/>
    <w:rsid w:val="00420F63"/>
    <w:rsid w:val="00421D38"/>
    <w:rsid w:val="00422308"/>
    <w:rsid w:val="00425228"/>
    <w:rsid w:val="00425A6D"/>
    <w:rsid w:val="004278F1"/>
    <w:rsid w:val="00432B53"/>
    <w:rsid w:val="004342FD"/>
    <w:rsid w:val="00440EC2"/>
    <w:rsid w:val="004410CB"/>
    <w:rsid w:val="00442F41"/>
    <w:rsid w:val="004430BB"/>
    <w:rsid w:val="00443DBD"/>
    <w:rsid w:val="00445167"/>
    <w:rsid w:val="004520FB"/>
    <w:rsid w:val="004529D9"/>
    <w:rsid w:val="0045370E"/>
    <w:rsid w:val="0045418A"/>
    <w:rsid w:val="004563E8"/>
    <w:rsid w:val="00456450"/>
    <w:rsid w:val="00457C4D"/>
    <w:rsid w:val="00461261"/>
    <w:rsid w:val="00463BB0"/>
    <w:rsid w:val="00464E91"/>
    <w:rsid w:val="0046538F"/>
    <w:rsid w:val="00467291"/>
    <w:rsid w:val="004673CB"/>
    <w:rsid w:val="004728A6"/>
    <w:rsid w:val="00472DBC"/>
    <w:rsid w:val="004749E0"/>
    <w:rsid w:val="00474B90"/>
    <w:rsid w:val="00477F00"/>
    <w:rsid w:val="00480DF4"/>
    <w:rsid w:val="00481952"/>
    <w:rsid w:val="00487F8B"/>
    <w:rsid w:val="00490ECF"/>
    <w:rsid w:val="00494311"/>
    <w:rsid w:val="00494A10"/>
    <w:rsid w:val="0049693A"/>
    <w:rsid w:val="00497922"/>
    <w:rsid w:val="004A2470"/>
    <w:rsid w:val="004A37AE"/>
    <w:rsid w:val="004A4DB7"/>
    <w:rsid w:val="004A63C8"/>
    <w:rsid w:val="004A7260"/>
    <w:rsid w:val="004B0587"/>
    <w:rsid w:val="004B2EED"/>
    <w:rsid w:val="004B373B"/>
    <w:rsid w:val="004B5876"/>
    <w:rsid w:val="004C48C9"/>
    <w:rsid w:val="004D0FD3"/>
    <w:rsid w:val="004D1EEA"/>
    <w:rsid w:val="004D28F9"/>
    <w:rsid w:val="004D2D8B"/>
    <w:rsid w:val="004D44F5"/>
    <w:rsid w:val="004D466B"/>
    <w:rsid w:val="004E2A73"/>
    <w:rsid w:val="004E3DC7"/>
    <w:rsid w:val="004E7506"/>
    <w:rsid w:val="004F2C21"/>
    <w:rsid w:val="004F3D9F"/>
    <w:rsid w:val="004F4C9D"/>
    <w:rsid w:val="004F663F"/>
    <w:rsid w:val="00500C85"/>
    <w:rsid w:val="005012CF"/>
    <w:rsid w:val="00503C36"/>
    <w:rsid w:val="005053E6"/>
    <w:rsid w:val="0050767A"/>
    <w:rsid w:val="0051383C"/>
    <w:rsid w:val="00513AD3"/>
    <w:rsid w:val="0051490B"/>
    <w:rsid w:val="00515948"/>
    <w:rsid w:val="00516F1D"/>
    <w:rsid w:val="0052101F"/>
    <w:rsid w:val="00521496"/>
    <w:rsid w:val="005226B1"/>
    <w:rsid w:val="00524D92"/>
    <w:rsid w:val="00532B38"/>
    <w:rsid w:val="00533DE3"/>
    <w:rsid w:val="00534D40"/>
    <w:rsid w:val="00534E38"/>
    <w:rsid w:val="005350CC"/>
    <w:rsid w:val="00540647"/>
    <w:rsid w:val="00543B02"/>
    <w:rsid w:val="00543B9C"/>
    <w:rsid w:val="00545417"/>
    <w:rsid w:val="005461B7"/>
    <w:rsid w:val="00550346"/>
    <w:rsid w:val="005564C7"/>
    <w:rsid w:val="00556C12"/>
    <w:rsid w:val="00556D48"/>
    <w:rsid w:val="00556DB0"/>
    <w:rsid w:val="00556F2C"/>
    <w:rsid w:val="005658E9"/>
    <w:rsid w:val="00572132"/>
    <w:rsid w:val="005734DB"/>
    <w:rsid w:val="005751A8"/>
    <w:rsid w:val="00583395"/>
    <w:rsid w:val="00584BAA"/>
    <w:rsid w:val="00591817"/>
    <w:rsid w:val="005946A9"/>
    <w:rsid w:val="005957C8"/>
    <w:rsid w:val="0059605F"/>
    <w:rsid w:val="00597AC2"/>
    <w:rsid w:val="005A1708"/>
    <w:rsid w:val="005A170E"/>
    <w:rsid w:val="005A2B38"/>
    <w:rsid w:val="005A772E"/>
    <w:rsid w:val="005B40BE"/>
    <w:rsid w:val="005B7374"/>
    <w:rsid w:val="005C2FA1"/>
    <w:rsid w:val="005C4968"/>
    <w:rsid w:val="005C5293"/>
    <w:rsid w:val="005D160A"/>
    <w:rsid w:val="005D1B8D"/>
    <w:rsid w:val="005D2788"/>
    <w:rsid w:val="005D412C"/>
    <w:rsid w:val="005D45FB"/>
    <w:rsid w:val="005D6538"/>
    <w:rsid w:val="005D6E08"/>
    <w:rsid w:val="005E24FD"/>
    <w:rsid w:val="005E3B9E"/>
    <w:rsid w:val="005E675F"/>
    <w:rsid w:val="005E7B50"/>
    <w:rsid w:val="005F120B"/>
    <w:rsid w:val="005F56E3"/>
    <w:rsid w:val="005F685E"/>
    <w:rsid w:val="005F68A7"/>
    <w:rsid w:val="005F7054"/>
    <w:rsid w:val="00603369"/>
    <w:rsid w:val="006035B4"/>
    <w:rsid w:val="0061652B"/>
    <w:rsid w:val="00616EC7"/>
    <w:rsid w:val="00623D66"/>
    <w:rsid w:val="0062539A"/>
    <w:rsid w:val="006260D0"/>
    <w:rsid w:val="006317F7"/>
    <w:rsid w:val="00634385"/>
    <w:rsid w:val="00634882"/>
    <w:rsid w:val="00636715"/>
    <w:rsid w:val="00636FBB"/>
    <w:rsid w:val="00640EEF"/>
    <w:rsid w:val="00645187"/>
    <w:rsid w:val="00645577"/>
    <w:rsid w:val="006602F7"/>
    <w:rsid w:val="00660B2C"/>
    <w:rsid w:val="0066106B"/>
    <w:rsid w:val="0066173B"/>
    <w:rsid w:val="006635D9"/>
    <w:rsid w:val="006769C7"/>
    <w:rsid w:val="00677CB4"/>
    <w:rsid w:val="00680E91"/>
    <w:rsid w:val="00681849"/>
    <w:rsid w:val="0068644A"/>
    <w:rsid w:val="006877E9"/>
    <w:rsid w:val="00695A70"/>
    <w:rsid w:val="00697782"/>
    <w:rsid w:val="006A026B"/>
    <w:rsid w:val="006A0442"/>
    <w:rsid w:val="006A1591"/>
    <w:rsid w:val="006A4B2F"/>
    <w:rsid w:val="006A4FC9"/>
    <w:rsid w:val="006A5486"/>
    <w:rsid w:val="006B0988"/>
    <w:rsid w:val="006B1B47"/>
    <w:rsid w:val="006B754B"/>
    <w:rsid w:val="006C0CB2"/>
    <w:rsid w:val="006C4327"/>
    <w:rsid w:val="006C4E15"/>
    <w:rsid w:val="006C6A4A"/>
    <w:rsid w:val="006C6DD2"/>
    <w:rsid w:val="006D34D4"/>
    <w:rsid w:val="006D7ED6"/>
    <w:rsid w:val="006E52B5"/>
    <w:rsid w:val="006F163F"/>
    <w:rsid w:val="006F2A65"/>
    <w:rsid w:val="006F311C"/>
    <w:rsid w:val="006F4F55"/>
    <w:rsid w:val="006F71F6"/>
    <w:rsid w:val="00702670"/>
    <w:rsid w:val="00702802"/>
    <w:rsid w:val="0070451B"/>
    <w:rsid w:val="007049E7"/>
    <w:rsid w:val="00704BF3"/>
    <w:rsid w:val="00707948"/>
    <w:rsid w:val="00715573"/>
    <w:rsid w:val="007170EC"/>
    <w:rsid w:val="00725D39"/>
    <w:rsid w:val="007261D4"/>
    <w:rsid w:val="0073261B"/>
    <w:rsid w:val="00733979"/>
    <w:rsid w:val="007350AD"/>
    <w:rsid w:val="0073515C"/>
    <w:rsid w:val="00735B32"/>
    <w:rsid w:val="00737422"/>
    <w:rsid w:val="00740079"/>
    <w:rsid w:val="007404A1"/>
    <w:rsid w:val="00743C67"/>
    <w:rsid w:val="007478BD"/>
    <w:rsid w:val="00751F55"/>
    <w:rsid w:val="00753176"/>
    <w:rsid w:val="00755BEE"/>
    <w:rsid w:val="00756657"/>
    <w:rsid w:val="00757D7B"/>
    <w:rsid w:val="00760227"/>
    <w:rsid w:val="00760D99"/>
    <w:rsid w:val="00762AE6"/>
    <w:rsid w:val="007647F0"/>
    <w:rsid w:val="007649C6"/>
    <w:rsid w:val="007665F0"/>
    <w:rsid w:val="00767C52"/>
    <w:rsid w:val="007705C4"/>
    <w:rsid w:val="007712B2"/>
    <w:rsid w:val="0077571F"/>
    <w:rsid w:val="00780D19"/>
    <w:rsid w:val="00782783"/>
    <w:rsid w:val="007834FA"/>
    <w:rsid w:val="007840C1"/>
    <w:rsid w:val="0078608B"/>
    <w:rsid w:val="00790DEE"/>
    <w:rsid w:val="0079164B"/>
    <w:rsid w:val="0079343F"/>
    <w:rsid w:val="0079476E"/>
    <w:rsid w:val="00795715"/>
    <w:rsid w:val="007A1CB4"/>
    <w:rsid w:val="007A2A25"/>
    <w:rsid w:val="007A3063"/>
    <w:rsid w:val="007A32DC"/>
    <w:rsid w:val="007A3E48"/>
    <w:rsid w:val="007A4B97"/>
    <w:rsid w:val="007A74AA"/>
    <w:rsid w:val="007B024F"/>
    <w:rsid w:val="007B2802"/>
    <w:rsid w:val="007B4A05"/>
    <w:rsid w:val="007C1E6D"/>
    <w:rsid w:val="007C2CBA"/>
    <w:rsid w:val="007C3568"/>
    <w:rsid w:val="007C6C46"/>
    <w:rsid w:val="007D24C0"/>
    <w:rsid w:val="007D2EC2"/>
    <w:rsid w:val="007D67BF"/>
    <w:rsid w:val="007E2C55"/>
    <w:rsid w:val="007E2E78"/>
    <w:rsid w:val="007E529E"/>
    <w:rsid w:val="00801BF6"/>
    <w:rsid w:val="008025FE"/>
    <w:rsid w:val="00802D71"/>
    <w:rsid w:val="008031AF"/>
    <w:rsid w:val="00807B01"/>
    <w:rsid w:val="00811517"/>
    <w:rsid w:val="00811D6C"/>
    <w:rsid w:val="00811F07"/>
    <w:rsid w:val="00812697"/>
    <w:rsid w:val="008134CB"/>
    <w:rsid w:val="00813B6B"/>
    <w:rsid w:val="00815861"/>
    <w:rsid w:val="008172D2"/>
    <w:rsid w:val="00820F32"/>
    <w:rsid w:val="00821CF1"/>
    <w:rsid w:val="008227BB"/>
    <w:rsid w:val="00824407"/>
    <w:rsid w:val="008255EC"/>
    <w:rsid w:val="0083338C"/>
    <w:rsid w:val="0083441B"/>
    <w:rsid w:val="0083602F"/>
    <w:rsid w:val="0084585A"/>
    <w:rsid w:val="008504A5"/>
    <w:rsid w:val="0085052F"/>
    <w:rsid w:val="00853DF2"/>
    <w:rsid w:val="008547CA"/>
    <w:rsid w:val="008579D8"/>
    <w:rsid w:val="008603DC"/>
    <w:rsid w:val="0086058F"/>
    <w:rsid w:val="00860ED0"/>
    <w:rsid w:val="00865290"/>
    <w:rsid w:val="008663F8"/>
    <w:rsid w:val="00866474"/>
    <w:rsid w:val="00867236"/>
    <w:rsid w:val="00873A24"/>
    <w:rsid w:val="008748ED"/>
    <w:rsid w:val="00874C67"/>
    <w:rsid w:val="0087668D"/>
    <w:rsid w:val="0087763E"/>
    <w:rsid w:val="00877AD7"/>
    <w:rsid w:val="00890AF6"/>
    <w:rsid w:val="0089187C"/>
    <w:rsid w:val="00894FAD"/>
    <w:rsid w:val="00895B25"/>
    <w:rsid w:val="00897C87"/>
    <w:rsid w:val="008A0F7B"/>
    <w:rsid w:val="008A13B7"/>
    <w:rsid w:val="008A1CEA"/>
    <w:rsid w:val="008A21C3"/>
    <w:rsid w:val="008A3827"/>
    <w:rsid w:val="008A5C8C"/>
    <w:rsid w:val="008A7685"/>
    <w:rsid w:val="008A77B8"/>
    <w:rsid w:val="008B21AC"/>
    <w:rsid w:val="008B2C32"/>
    <w:rsid w:val="008B2CAE"/>
    <w:rsid w:val="008B32E9"/>
    <w:rsid w:val="008B4027"/>
    <w:rsid w:val="008C23D2"/>
    <w:rsid w:val="008D1138"/>
    <w:rsid w:val="008D2204"/>
    <w:rsid w:val="008E6E59"/>
    <w:rsid w:val="008F20BD"/>
    <w:rsid w:val="008F458A"/>
    <w:rsid w:val="008F48C9"/>
    <w:rsid w:val="008F5743"/>
    <w:rsid w:val="009002B1"/>
    <w:rsid w:val="00903CB9"/>
    <w:rsid w:val="0090635C"/>
    <w:rsid w:val="00911462"/>
    <w:rsid w:val="00911E84"/>
    <w:rsid w:val="00912DDB"/>
    <w:rsid w:val="00913143"/>
    <w:rsid w:val="00913346"/>
    <w:rsid w:val="00924132"/>
    <w:rsid w:val="00930A47"/>
    <w:rsid w:val="00931B60"/>
    <w:rsid w:val="009375E9"/>
    <w:rsid w:val="0094085C"/>
    <w:rsid w:val="00942177"/>
    <w:rsid w:val="00944728"/>
    <w:rsid w:val="009447E6"/>
    <w:rsid w:val="00946FC4"/>
    <w:rsid w:val="00950702"/>
    <w:rsid w:val="00950FF3"/>
    <w:rsid w:val="009517B6"/>
    <w:rsid w:val="009527E0"/>
    <w:rsid w:val="00954645"/>
    <w:rsid w:val="00955D05"/>
    <w:rsid w:val="00955E60"/>
    <w:rsid w:val="00955E9B"/>
    <w:rsid w:val="00956E17"/>
    <w:rsid w:val="00964D23"/>
    <w:rsid w:val="0096722C"/>
    <w:rsid w:val="0097095E"/>
    <w:rsid w:val="00974D0D"/>
    <w:rsid w:val="0098108B"/>
    <w:rsid w:val="00982596"/>
    <w:rsid w:val="00983486"/>
    <w:rsid w:val="00983EBF"/>
    <w:rsid w:val="009840F9"/>
    <w:rsid w:val="009878F7"/>
    <w:rsid w:val="009978E8"/>
    <w:rsid w:val="00997A53"/>
    <w:rsid w:val="00997C24"/>
    <w:rsid w:val="009A4528"/>
    <w:rsid w:val="009A4717"/>
    <w:rsid w:val="009A5EFC"/>
    <w:rsid w:val="009A6C7B"/>
    <w:rsid w:val="009A746C"/>
    <w:rsid w:val="009B2609"/>
    <w:rsid w:val="009B4556"/>
    <w:rsid w:val="009C232D"/>
    <w:rsid w:val="009C3FB0"/>
    <w:rsid w:val="009C732B"/>
    <w:rsid w:val="009D0033"/>
    <w:rsid w:val="009D5D01"/>
    <w:rsid w:val="009D6212"/>
    <w:rsid w:val="009E1E1C"/>
    <w:rsid w:val="009E379C"/>
    <w:rsid w:val="009E40A3"/>
    <w:rsid w:val="009E5492"/>
    <w:rsid w:val="009F2308"/>
    <w:rsid w:val="009F2D72"/>
    <w:rsid w:val="009F656B"/>
    <w:rsid w:val="009F7E6D"/>
    <w:rsid w:val="00A010C6"/>
    <w:rsid w:val="00A04DD7"/>
    <w:rsid w:val="00A05FE3"/>
    <w:rsid w:val="00A0770A"/>
    <w:rsid w:val="00A07A25"/>
    <w:rsid w:val="00A101FD"/>
    <w:rsid w:val="00A10A34"/>
    <w:rsid w:val="00A13DF2"/>
    <w:rsid w:val="00A157C1"/>
    <w:rsid w:val="00A16C57"/>
    <w:rsid w:val="00A230EA"/>
    <w:rsid w:val="00A23165"/>
    <w:rsid w:val="00A27717"/>
    <w:rsid w:val="00A300EC"/>
    <w:rsid w:val="00A304E6"/>
    <w:rsid w:val="00A304F7"/>
    <w:rsid w:val="00A31267"/>
    <w:rsid w:val="00A37F00"/>
    <w:rsid w:val="00A44286"/>
    <w:rsid w:val="00A46EE9"/>
    <w:rsid w:val="00A477C7"/>
    <w:rsid w:val="00A47E90"/>
    <w:rsid w:val="00A51441"/>
    <w:rsid w:val="00A53865"/>
    <w:rsid w:val="00A5493A"/>
    <w:rsid w:val="00A60838"/>
    <w:rsid w:val="00A609E1"/>
    <w:rsid w:val="00A60D49"/>
    <w:rsid w:val="00A656E7"/>
    <w:rsid w:val="00A66C34"/>
    <w:rsid w:val="00A701E6"/>
    <w:rsid w:val="00A713A6"/>
    <w:rsid w:val="00A74496"/>
    <w:rsid w:val="00A75528"/>
    <w:rsid w:val="00A75ADB"/>
    <w:rsid w:val="00A7667C"/>
    <w:rsid w:val="00A777B7"/>
    <w:rsid w:val="00A8035D"/>
    <w:rsid w:val="00A81B71"/>
    <w:rsid w:val="00A83A85"/>
    <w:rsid w:val="00A90757"/>
    <w:rsid w:val="00A91C11"/>
    <w:rsid w:val="00A96476"/>
    <w:rsid w:val="00A96B3A"/>
    <w:rsid w:val="00AA3E83"/>
    <w:rsid w:val="00AA54FA"/>
    <w:rsid w:val="00AA6E9B"/>
    <w:rsid w:val="00AB2D3C"/>
    <w:rsid w:val="00AB3EF5"/>
    <w:rsid w:val="00AB4AFE"/>
    <w:rsid w:val="00AB5F52"/>
    <w:rsid w:val="00AB7238"/>
    <w:rsid w:val="00AC1148"/>
    <w:rsid w:val="00AC254E"/>
    <w:rsid w:val="00AC36C6"/>
    <w:rsid w:val="00AC3B69"/>
    <w:rsid w:val="00AD1BE0"/>
    <w:rsid w:val="00AD37F9"/>
    <w:rsid w:val="00AD46DB"/>
    <w:rsid w:val="00AE0CF6"/>
    <w:rsid w:val="00AE24CE"/>
    <w:rsid w:val="00AE42CE"/>
    <w:rsid w:val="00AE4CF1"/>
    <w:rsid w:val="00AF2535"/>
    <w:rsid w:val="00AF646C"/>
    <w:rsid w:val="00B011AF"/>
    <w:rsid w:val="00B03280"/>
    <w:rsid w:val="00B0333D"/>
    <w:rsid w:val="00B04052"/>
    <w:rsid w:val="00B07E21"/>
    <w:rsid w:val="00B106E4"/>
    <w:rsid w:val="00B10EBE"/>
    <w:rsid w:val="00B13236"/>
    <w:rsid w:val="00B168D9"/>
    <w:rsid w:val="00B170C0"/>
    <w:rsid w:val="00B1712F"/>
    <w:rsid w:val="00B23DFC"/>
    <w:rsid w:val="00B26151"/>
    <w:rsid w:val="00B263FE"/>
    <w:rsid w:val="00B26879"/>
    <w:rsid w:val="00B26AA5"/>
    <w:rsid w:val="00B30B5D"/>
    <w:rsid w:val="00B3159D"/>
    <w:rsid w:val="00B32274"/>
    <w:rsid w:val="00B33575"/>
    <w:rsid w:val="00B34A53"/>
    <w:rsid w:val="00B35ADD"/>
    <w:rsid w:val="00B40EB2"/>
    <w:rsid w:val="00B41BEE"/>
    <w:rsid w:val="00B42565"/>
    <w:rsid w:val="00B43AD3"/>
    <w:rsid w:val="00B45E16"/>
    <w:rsid w:val="00B4600D"/>
    <w:rsid w:val="00B462E0"/>
    <w:rsid w:val="00B47A16"/>
    <w:rsid w:val="00B563A0"/>
    <w:rsid w:val="00B570DE"/>
    <w:rsid w:val="00B623A9"/>
    <w:rsid w:val="00B64D45"/>
    <w:rsid w:val="00B7229C"/>
    <w:rsid w:val="00B73040"/>
    <w:rsid w:val="00B74621"/>
    <w:rsid w:val="00B84C8A"/>
    <w:rsid w:val="00B86548"/>
    <w:rsid w:val="00B87E6A"/>
    <w:rsid w:val="00B90801"/>
    <w:rsid w:val="00B9282D"/>
    <w:rsid w:val="00B97216"/>
    <w:rsid w:val="00B977AB"/>
    <w:rsid w:val="00BA3146"/>
    <w:rsid w:val="00BA55B8"/>
    <w:rsid w:val="00BA6F03"/>
    <w:rsid w:val="00BB1747"/>
    <w:rsid w:val="00BB1A38"/>
    <w:rsid w:val="00BB2855"/>
    <w:rsid w:val="00BB47DA"/>
    <w:rsid w:val="00BB5429"/>
    <w:rsid w:val="00BB67DB"/>
    <w:rsid w:val="00BB7ABF"/>
    <w:rsid w:val="00BC0DF7"/>
    <w:rsid w:val="00BC5500"/>
    <w:rsid w:val="00BC6F87"/>
    <w:rsid w:val="00BD00D7"/>
    <w:rsid w:val="00BD0FE8"/>
    <w:rsid w:val="00BD236F"/>
    <w:rsid w:val="00BD706D"/>
    <w:rsid w:val="00BD7AFA"/>
    <w:rsid w:val="00BE0896"/>
    <w:rsid w:val="00BE19C1"/>
    <w:rsid w:val="00BE24F1"/>
    <w:rsid w:val="00BE6DBD"/>
    <w:rsid w:val="00BF0553"/>
    <w:rsid w:val="00BF15E8"/>
    <w:rsid w:val="00BF2C92"/>
    <w:rsid w:val="00BF2FF2"/>
    <w:rsid w:val="00BF3A96"/>
    <w:rsid w:val="00BF52EA"/>
    <w:rsid w:val="00BF5714"/>
    <w:rsid w:val="00BF751F"/>
    <w:rsid w:val="00C00B3F"/>
    <w:rsid w:val="00C02D56"/>
    <w:rsid w:val="00C057FB"/>
    <w:rsid w:val="00C0768A"/>
    <w:rsid w:val="00C07DD1"/>
    <w:rsid w:val="00C105ED"/>
    <w:rsid w:val="00C10F11"/>
    <w:rsid w:val="00C114DC"/>
    <w:rsid w:val="00C11959"/>
    <w:rsid w:val="00C203EF"/>
    <w:rsid w:val="00C36E17"/>
    <w:rsid w:val="00C36EB6"/>
    <w:rsid w:val="00C3748D"/>
    <w:rsid w:val="00C37ADF"/>
    <w:rsid w:val="00C40874"/>
    <w:rsid w:val="00C4308B"/>
    <w:rsid w:val="00C447FA"/>
    <w:rsid w:val="00C50824"/>
    <w:rsid w:val="00C50EC2"/>
    <w:rsid w:val="00C520F0"/>
    <w:rsid w:val="00C527A3"/>
    <w:rsid w:val="00C531C5"/>
    <w:rsid w:val="00C54021"/>
    <w:rsid w:val="00C54CA1"/>
    <w:rsid w:val="00C554EA"/>
    <w:rsid w:val="00C61356"/>
    <w:rsid w:val="00C61E84"/>
    <w:rsid w:val="00C644CE"/>
    <w:rsid w:val="00C66AC9"/>
    <w:rsid w:val="00C67DBA"/>
    <w:rsid w:val="00C74C3D"/>
    <w:rsid w:val="00C76C2B"/>
    <w:rsid w:val="00C82C6D"/>
    <w:rsid w:val="00C84EDB"/>
    <w:rsid w:val="00C8612B"/>
    <w:rsid w:val="00C8673F"/>
    <w:rsid w:val="00C93DCB"/>
    <w:rsid w:val="00C93ED1"/>
    <w:rsid w:val="00CA2609"/>
    <w:rsid w:val="00CA3863"/>
    <w:rsid w:val="00CB09CA"/>
    <w:rsid w:val="00CB09F9"/>
    <w:rsid w:val="00CB3636"/>
    <w:rsid w:val="00CB4022"/>
    <w:rsid w:val="00CB63F2"/>
    <w:rsid w:val="00CC2510"/>
    <w:rsid w:val="00CC3D4E"/>
    <w:rsid w:val="00CC5F8B"/>
    <w:rsid w:val="00CD0F70"/>
    <w:rsid w:val="00CE0459"/>
    <w:rsid w:val="00CE6847"/>
    <w:rsid w:val="00CF573F"/>
    <w:rsid w:val="00D03F97"/>
    <w:rsid w:val="00D0694B"/>
    <w:rsid w:val="00D06FC7"/>
    <w:rsid w:val="00D14883"/>
    <w:rsid w:val="00D158B7"/>
    <w:rsid w:val="00D178CB"/>
    <w:rsid w:val="00D207B6"/>
    <w:rsid w:val="00D270BE"/>
    <w:rsid w:val="00D33EF4"/>
    <w:rsid w:val="00D35F48"/>
    <w:rsid w:val="00D4040F"/>
    <w:rsid w:val="00D431D7"/>
    <w:rsid w:val="00D45C94"/>
    <w:rsid w:val="00D55715"/>
    <w:rsid w:val="00D55AA9"/>
    <w:rsid w:val="00D56E4C"/>
    <w:rsid w:val="00D6061C"/>
    <w:rsid w:val="00D606AA"/>
    <w:rsid w:val="00D60C89"/>
    <w:rsid w:val="00D60E6E"/>
    <w:rsid w:val="00D60F81"/>
    <w:rsid w:val="00D634A8"/>
    <w:rsid w:val="00D643C9"/>
    <w:rsid w:val="00D66880"/>
    <w:rsid w:val="00D70F2C"/>
    <w:rsid w:val="00D710A4"/>
    <w:rsid w:val="00D76B00"/>
    <w:rsid w:val="00D76E8E"/>
    <w:rsid w:val="00D775C9"/>
    <w:rsid w:val="00D83904"/>
    <w:rsid w:val="00D850C0"/>
    <w:rsid w:val="00D85608"/>
    <w:rsid w:val="00D8598D"/>
    <w:rsid w:val="00D90961"/>
    <w:rsid w:val="00D93979"/>
    <w:rsid w:val="00D97212"/>
    <w:rsid w:val="00DA289E"/>
    <w:rsid w:val="00DA30A8"/>
    <w:rsid w:val="00DB08E3"/>
    <w:rsid w:val="00DB1F54"/>
    <w:rsid w:val="00DB3E50"/>
    <w:rsid w:val="00DB55D6"/>
    <w:rsid w:val="00DB5BA0"/>
    <w:rsid w:val="00DC14B2"/>
    <w:rsid w:val="00DD155B"/>
    <w:rsid w:val="00DD3408"/>
    <w:rsid w:val="00DD4C99"/>
    <w:rsid w:val="00DD5B96"/>
    <w:rsid w:val="00DD75E7"/>
    <w:rsid w:val="00DD76D7"/>
    <w:rsid w:val="00DE1E87"/>
    <w:rsid w:val="00DE5B23"/>
    <w:rsid w:val="00DF1A60"/>
    <w:rsid w:val="00DF274E"/>
    <w:rsid w:val="00DF3AC1"/>
    <w:rsid w:val="00DF408C"/>
    <w:rsid w:val="00DF47D6"/>
    <w:rsid w:val="00DF55FC"/>
    <w:rsid w:val="00E00D12"/>
    <w:rsid w:val="00E01CB0"/>
    <w:rsid w:val="00E062E7"/>
    <w:rsid w:val="00E1245D"/>
    <w:rsid w:val="00E13E5E"/>
    <w:rsid w:val="00E15EDF"/>
    <w:rsid w:val="00E17C78"/>
    <w:rsid w:val="00E24D7C"/>
    <w:rsid w:val="00E2709D"/>
    <w:rsid w:val="00E30CCC"/>
    <w:rsid w:val="00E352EF"/>
    <w:rsid w:val="00E4001A"/>
    <w:rsid w:val="00E40C5B"/>
    <w:rsid w:val="00E44032"/>
    <w:rsid w:val="00E44A8A"/>
    <w:rsid w:val="00E45E59"/>
    <w:rsid w:val="00E47559"/>
    <w:rsid w:val="00E507F7"/>
    <w:rsid w:val="00E50836"/>
    <w:rsid w:val="00E5150E"/>
    <w:rsid w:val="00E522A5"/>
    <w:rsid w:val="00E53091"/>
    <w:rsid w:val="00E579FA"/>
    <w:rsid w:val="00E61BF5"/>
    <w:rsid w:val="00E61E16"/>
    <w:rsid w:val="00E64A50"/>
    <w:rsid w:val="00E675D9"/>
    <w:rsid w:val="00E67A39"/>
    <w:rsid w:val="00E67B58"/>
    <w:rsid w:val="00E703F7"/>
    <w:rsid w:val="00E73B67"/>
    <w:rsid w:val="00E73DF2"/>
    <w:rsid w:val="00E743A3"/>
    <w:rsid w:val="00E75090"/>
    <w:rsid w:val="00E77C0F"/>
    <w:rsid w:val="00E80687"/>
    <w:rsid w:val="00E80A71"/>
    <w:rsid w:val="00E8232C"/>
    <w:rsid w:val="00E82F23"/>
    <w:rsid w:val="00E84899"/>
    <w:rsid w:val="00E85283"/>
    <w:rsid w:val="00E86365"/>
    <w:rsid w:val="00E9232D"/>
    <w:rsid w:val="00E928CB"/>
    <w:rsid w:val="00E95FC0"/>
    <w:rsid w:val="00EA0729"/>
    <w:rsid w:val="00EA1B6E"/>
    <w:rsid w:val="00EA4389"/>
    <w:rsid w:val="00EA64E5"/>
    <w:rsid w:val="00EB0801"/>
    <w:rsid w:val="00EB1E7C"/>
    <w:rsid w:val="00EB2906"/>
    <w:rsid w:val="00EB6FDB"/>
    <w:rsid w:val="00EC22F7"/>
    <w:rsid w:val="00EC4913"/>
    <w:rsid w:val="00EC61DB"/>
    <w:rsid w:val="00EC726A"/>
    <w:rsid w:val="00EC7BD5"/>
    <w:rsid w:val="00ED1EBF"/>
    <w:rsid w:val="00ED3D0D"/>
    <w:rsid w:val="00ED568C"/>
    <w:rsid w:val="00ED608E"/>
    <w:rsid w:val="00EE311D"/>
    <w:rsid w:val="00EE41AA"/>
    <w:rsid w:val="00EF1978"/>
    <w:rsid w:val="00EF3597"/>
    <w:rsid w:val="00EF6EF5"/>
    <w:rsid w:val="00EF7007"/>
    <w:rsid w:val="00EF7C90"/>
    <w:rsid w:val="00F0274F"/>
    <w:rsid w:val="00F02EFB"/>
    <w:rsid w:val="00F05111"/>
    <w:rsid w:val="00F05C70"/>
    <w:rsid w:val="00F07024"/>
    <w:rsid w:val="00F07580"/>
    <w:rsid w:val="00F1003A"/>
    <w:rsid w:val="00F11A85"/>
    <w:rsid w:val="00F14448"/>
    <w:rsid w:val="00F14618"/>
    <w:rsid w:val="00F1688E"/>
    <w:rsid w:val="00F247D6"/>
    <w:rsid w:val="00F30239"/>
    <w:rsid w:val="00F35DB7"/>
    <w:rsid w:val="00F4008C"/>
    <w:rsid w:val="00F4198C"/>
    <w:rsid w:val="00F4536A"/>
    <w:rsid w:val="00F45EA0"/>
    <w:rsid w:val="00F50F28"/>
    <w:rsid w:val="00F52121"/>
    <w:rsid w:val="00F52371"/>
    <w:rsid w:val="00F53D45"/>
    <w:rsid w:val="00F54EF2"/>
    <w:rsid w:val="00F64AF5"/>
    <w:rsid w:val="00F707B9"/>
    <w:rsid w:val="00F72922"/>
    <w:rsid w:val="00F72957"/>
    <w:rsid w:val="00F72FAC"/>
    <w:rsid w:val="00F7463C"/>
    <w:rsid w:val="00F77E46"/>
    <w:rsid w:val="00F8053D"/>
    <w:rsid w:val="00F82317"/>
    <w:rsid w:val="00F84517"/>
    <w:rsid w:val="00F84732"/>
    <w:rsid w:val="00F9140A"/>
    <w:rsid w:val="00F929F3"/>
    <w:rsid w:val="00F92C61"/>
    <w:rsid w:val="00F93C62"/>
    <w:rsid w:val="00F94EBB"/>
    <w:rsid w:val="00F9572D"/>
    <w:rsid w:val="00F95BDE"/>
    <w:rsid w:val="00F96B4C"/>
    <w:rsid w:val="00FA72A4"/>
    <w:rsid w:val="00FB3066"/>
    <w:rsid w:val="00FB3755"/>
    <w:rsid w:val="00FB4521"/>
    <w:rsid w:val="00FC09C3"/>
    <w:rsid w:val="00FC37D4"/>
    <w:rsid w:val="00FC6F5E"/>
    <w:rsid w:val="00FD150B"/>
    <w:rsid w:val="00FD29DB"/>
    <w:rsid w:val="00FD3079"/>
    <w:rsid w:val="00FE029B"/>
    <w:rsid w:val="00FE1D10"/>
    <w:rsid w:val="00FE2DCB"/>
    <w:rsid w:val="00FE5030"/>
    <w:rsid w:val="00FE6F9B"/>
    <w:rsid w:val="00FF2B58"/>
    <w:rsid w:val="00FF739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  <w14:docId w14:val="2CBB1CAF"/>
  <w15:chartTrackingRefBased/>
  <w15:docId w15:val="{3A440CAE-BC18-41B7-9D4C-EF056C9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paragraph" w:styleId="BodyTextIndent">
    <w:name w:val="Body Text Indent"/>
    <w:basedOn w:val="Normal"/>
    <w:link w:val="BodyTextIndentChar"/>
    <w:rsid w:val="00421D38"/>
    <w:pPr>
      <w:tabs>
        <w:tab w:val="left" w:pos="612"/>
      </w:tabs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1D38"/>
    <w:rPr>
      <w:rFonts w:ascii="Times New Roman" w:eastAsia="Times New Roman" w:hAnsi="Times New Roman" w:cs="Times New Roman"/>
      <w:b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5B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5B9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0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1E0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F13CE"/>
  </w:style>
  <w:style w:type="character" w:styleId="Hyperlink">
    <w:name w:val="Hyperlink"/>
    <w:basedOn w:val="DefaultParagraphFont"/>
    <w:uiPriority w:val="99"/>
    <w:unhideWhenUsed/>
    <w:rsid w:val="005564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functions.hud.ac.uk/COM/University-Committees/University%20Teaching%20and%20Learning%20Committee/REGS_UTLC_2020_03_18_P22.1i.pdf?We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Anne Miller</cp:lastModifiedBy>
  <cp:revision>32</cp:revision>
  <cp:lastPrinted>2020-04-29T08:32:00Z</cp:lastPrinted>
  <dcterms:created xsi:type="dcterms:W3CDTF">2020-03-12T13:46:00Z</dcterms:created>
  <dcterms:modified xsi:type="dcterms:W3CDTF">2020-06-18T12:24:00Z</dcterms:modified>
</cp:coreProperties>
</file>